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46BD3" w14:textId="77777777" w:rsidR="00C17465" w:rsidRDefault="00C17465" w:rsidP="00C17465">
      <w:pPr>
        <w:pStyle w:val="NormalWeb"/>
        <w:pBdr>
          <w:bottom w:val="single" w:sz="6" w:space="0" w:color="000000"/>
        </w:pBdr>
        <w:spacing w:after="0"/>
      </w:pPr>
      <w:r>
        <w:rPr>
          <w:b/>
          <w:bCs/>
          <w:color w:val="000000"/>
          <w:sz w:val="36"/>
          <w:szCs w:val="36"/>
        </w:rPr>
        <w:t>SEÇÃO XIV - PREVIDÊNCIA DO SERVIDOR PÚBLICO</w:t>
      </w:r>
    </w:p>
    <w:p w14:paraId="461F4D79" w14:textId="77777777" w:rsidR="00582F13" w:rsidRDefault="00582F13" w:rsidP="000F5B27">
      <w:pPr>
        <w:spacing w:before="2400" w:after="240"/>
        <w:jc w:val="both"/>
        <w:rPr>
          <w:rFonts w:cs="Open Sans"/>
          <w:color w:val="000000"/>
          <w:shd w:val="clear" w:color="auto" w:fill="FFFFFF"/>
        </w:rPr>
      </w:pPr>
    </w:p>
    <w:p w14:paraId="20DB944F" w14:textId="5CB7D8F6" w:rsidR="000F5B27" w:rsidRPr="008720AB" w:rsidRDefault="00EC0B98" w:rsidP="008020E0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 xml:space="preserve">O </w:t>
      </w:r>
      <w:r w:rsidR="000F5B27" w:rsidRPr="008720AB">
        <w:rPr>
          <w:rFonts w:cs="Open Sans"/>
          <w:color w:val="000000"/>
          <w:shd w:val="clear" w:color="auto" w:fill="FFFFFF"/>
        </w:rPr>
        <w:t>sistema de previdência social no Brasil contempla dois grandes regimes públicos de caráter obrigatório: o Regime Geral de Previdência Social - RGPS e os Regimes Próprios de Previdência Social - RPPS.</w:t>
      </w:r>
    </w:p>
    <w:p w14:paraId="22D56481" w14:textId="09CB70ED" w:rsidR="00EC0B98" w:rsidRPr="008720AB" w:rsidRDefault="000F5B27" w:rsidP="008020E0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O RG</w:t>
      </w:r>
      <w:r w:rsidR="00EC0B98" w:rsidRPr="008720AB">
        <w:rPr>
          <w:rFonts w:cs="Open Sans"/>
          <w:color w:val="000000"/>
          <w:shd w:val="clear" w:color="auto" w:fill="FFFFFF"/>
        </w:rPr>
        <w:t>PS tem como destinatários os trabalhadores do setor privado e os servidores públicos não amparados por RPPS, encontra seu fundamento no art. 201 da Constituição Federal e é disciplinado pelas Leis nº 8.212/1991 (plano de custeio) e nº 8.213/1991 (plano de benefícios).</w:t>
      </w:r>
    </w:p>
    <w:p w14:paraId="6F7D7F7A" w14:textId="38A0AD8E" w:rsidR="00EC0B98" w:rsidRPr="008720AB" w:rsidRDefault="00EC0B98" w:rsidP="008020E0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Os RPPS asseguram a proteção previdenciária aos servidores públicos titulares de cargos efetivos das diferentes esferas da federação (União, Estados, Distrito Federal e Municípios) e têm seu fundamento no art. 40 da Constituição</w:t>
      </w:r>
      <w:r w:rsidR="00FF0A12">
        <w:rPr>
          <w:rFonts w:cs="Open Sans"/>
          <w:color w:val="000000"/>
          <w:shd w:val="clear" w:color="auto" w:fill="FFFFFF"/>
        </w:rPr>
        <w:t xml:space="preserve"> Federal</w:t>
      </w:r>
      <w:r w:rsidRPr="008720AB">
        <w:rPr>
          <w:rFonts w:cs="Open Sans"/>
          <w:color w:val="000000"/>
          <w:shd w:val="clear" w:color="auto" w:fill="FFFFFF"/>
        </w:rPr>
        <w:t>, que estabelece como princípios a serem observados em sua constituição o caráter contributivo e solidário e o equilíbrio financeiro e atuarial.</w:t>
      </w:r>
    </w:p>
    <w:p w14:paraId="3C906AA0" w14:textId="3E4B8913" w:rsidR="00EC0B98" w:rsidRPr="008720AB" w:rsidRDefault="00EC0B98" w:rsidP="008020E0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A Lei nº 9.717/1998 estabeleceu as normas gerais de organização e funcionamento dos RPPS e em seu art. 9º atribuiu ao Ministério da Previdência Social (atualmente, a Secretaria de Previdência do Ministério da Fazenda) a competência para exercer a orientação, supervisão e acompanhamento dos RPPS</w:t>
      </w:r>
      <w:r w:rsidR="00305CC0" w:rsidRPr="008720AB">
        <w:rPr>
          <w:rFonts w:cs="Open Sans"/>
          <w:color w:val="000000"/>
          <w:shd w:val="clear" w:color="auto" w:fill="FFFFFF"/>
        </w:rPr>
        <w:t>, bem como os seus parâmetros e diretrizes gerais.</w:t>
      </w:r>
    </w:p>
    <w:p w14:paraId="0B5746FB" w14:textId="7D79793C" w:rsidR="0094338B" w:rsidRDefault="00555012" w:rsidP="008020E0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Nest</w:t>
      </w:r>
      <w:r w:rsidR="00305CC0" w:rsidRPr="008720AB">
        <w:rPr>
          <w:rFonts w:cs="Open Sans"/>
          <w:color w:val="000000"/>
          <w:shd w:val="clear" w:color="auto" w:fill="FFFFFF"/>
        </w:rPr>
        <w:t xml:space="preserve">a </w:t>
      </w:r>
      <w:r w:rsidR="00C016F8">
        <w:rPr>
          <w:rFonts w:cs="Open Sans"/>
          <w:color w:val="000000"/>
          <w:shd w:val="clear" w:color="auto" w:fill="FFFFFF"/>
        </w:rPr>
        <w:t>S</w:t>
      </w:r>
      <w:r w:rsidR="00305CC0" w:rsidRPr="008720AB">
        <w:rPr>
          <w:rFonts w:cs="Open Sans"/>
          <w:color w:val="000000"/>
          <w:shd w:val="clear" w:color="auto" w:fill="FFFFFF"/>
        </w:rPr>
        <w:t xml:space="preserve">eção </w:t>
      </w:r>
      <w:r w:rsidR="00FB394E" w:rsidRPr="008720AB">
        <w:rPr>
          <w:rFonts w:cs="Open Sans"/>
          <w:color w:val="000000"/>
          <w:shd w:val="clear" w:color="auto" w:fill="FFFFFF"/>
        </w:rPr>
        <w:t xml:space="preserve">XIV </w:t>
      </w:r>
      <w:r w:rsidRPr="008720AB">
        <w:rPr>
          <w:rFonts w:cs="Open Sans"/>
          <w:color w:val="000000"/>
          <w:shd w:val="clear" w:color="auto" w:fill="FFFFFF"/>
        </w:rPr>
        <w:t xml:space="preserve">são </w:t>
      </w:r>
      <w:r w:rsidR="00305CC0" w:rsidRPr="008720AB">
        <w:rPr>
          <w:rFonts w:cs="Open Sans"/>
          <w:color w:val="000000"/>
          <w:shd w:val="clear" w:color="auto" w:fill="FFFFFF"/>
        </w:rPr>
        <w:t>apresenta</w:t>
      </w:r>
      <w:r w:rsidRPr="008720AB">
        <w:rPr>
          <w:rFonts w:cs="Open Sans"/>
          <w:color w:val="000000"/>
          <w:shd w:val="clear" w:color="auto" w:fill="FFFFFF"/>
        </w:rPr>
        <w:t>dos</w:t>
      </w:r>
      <w:r w:rsidR="00305CC0" w:rsidRPr="008720AB">
        <w:rPr>
          <w:rFonts w:cs="Open Sans"/>
          <w:color w:val="000000"/>
          <w:shd w:val="clear" w:color="auto" w:fill="FFFFFF"/>
        </w:rPr>
        <w:t xml:space="preserve"> dados estatísticos</w:t>
      </w:r>
      <w:r w:rsidR="00FB394E" w:rsidRPr="008720AB">
        <w:rPr>
          <w:rFonts w:cs="Open Sans"/>
          <w:color w:val="000000"/>
          <w:shd w:val="clear" w:color="auto" w:fill="FFFFFF"/>
        </w:rPr>
        <w:t xml:space="preserve"> da “Previdência do Servidor Público” no Brasil, cuja gestão encontra-se a cargo do </w:t>
      </w:r>
      <w:r w:rsidRPr="008720AB">
        <w:rPr>
          <w:rFonts w:cs="Open Sans"/>
          <w:color w:val="000000"/>
          <w:shd w:val="clear" w:color="auto" w:fill="FFFFFF"/>
        </w:rPr>
        <w:t>conjunto dos RPPS. Com a finalidade de se a</w:t>
      </w:r>
      <w:r w:rsidR="00A519FB" w:rsidRPr="008720AB">
        <w:rPr>
          <w:rFonts w:cs="Open Sans"/>
          <w:color w:val="000000"/>
          <w:shd w:val="clear" w:color="auto" w:fill="FFFFFF"/>
        </w:rPr>
        <w:t>mpliar e a</w:t>
      </w:r>
      <w:r w:rsidRPr="008720AB">
        <w:rPr>
          <w:rFonts w:cs="Open Sans"/>
          <w:color w:val="000000"/>
          <w:shd w:val="clear" w:color="auto" w:fill="FFFFFF"/>
        </w:rPr>
        <w:t xml:space="preserve">perfeiçoar </w:t>
      </w:r>
      <w:r w:rsidR="00A519FB" w:rsidRPr="008720AB">
        <w:rPr>
          <w:rFonts w:cs="Open Sans"/>
          <w:color w:val="000000"/>
          <w:shd w:val="clear" w:color="auto" w:fill="FFFFFF"/>
        </w:rPr>
        <w:t xml:space="preserve">o conteúdo e a abrangência das </w:t>
      </w:r>
      <w:r w:rsidRPr="008720AB">
        <w:rPr>
          <w:rFonts w:cs="Open Sans"/>
          <w:color w:val="000000"/>
          <w:shd w:val="clear" w:color="auto" w:fill="FFFFFF"/>
        </w:rPr>
        <w:t xml:space="preserve">informações </w:t>
      </w:r>
      <w:r w:rsidR="00A519FB" w:rsidRPr="008720AB">
        <w:rPr>
          <w:rFonts w:cs="Open Sans"/>
          <w:color w:val="000000"/>
          <w:shd w:val="clear" w:color="auto" w:fill="FFFFFF"/>
        </w:rPr>
        <w:t>colocadas à disposição da</w:t>
      </w:r>
      <w:r w:rsidRPr="008720AB">
        <w:rPr>
          <w:rFonts w:cs="Open Sans"/>
          <w:color w:val="000000"/>
          <w:shd w:val="clear" w:color="auto" w:fill="FFFFFF"/>
        </w:rPr>
        <w:t xml:space="preserve"> sociedade, </w:t>
      </w:r>
      <w:r w:rsidR="00A519FB" w:rsidRPr="008720AB">
        <w:rPr>
          <w:rFonts w:cs="Open Sans"/>
          <w:color w:val="000000"/>
          <w:shd w:val="clear" w:color="auto" w:fill="FFFFFF"/>
        </w:rPr>
        <w:t xml:space="preserve">esta edição do AEPS incorpora uma ampla reformulação em relação às </w:t>
      </w:r>
      <w:r w:rsidR="00FB394E" w:rsidRPr="008720AB">
        <w:rPr>
          <w:rFonts w:cs="Open Sans"/>
          <w:color w:val="000000"/>
          <w:shd w:val="clear" w:color="auto" w:fill="FFFFFF"/>
        </w:rPr>
        <w:t xml:space="preserve">versões dos anos </w:t>
      </w:r>
      <w:r w:rsidR="00A519FB" w:rsidRPr="008720AB">
        <w:rPr>
          <w:rFonts w:cs="Open Sans"/>
          <w:color w:val="000000"/>
          <w:shd w:val="clear" w:color="auto" w:fill="FFFFFF"/>
        </w:rPr>
        <w:t>anteriores</w:t>
      </w:r>
      <w:r w:rsidR="00A3192C">
        <w:rPr>
          <w:rFonts w:cs="Open Sans"/>
          <w:color w:val="000000"/>
          <w:shd w:val="clear" w:color="auto" w:fill="FFFFFF"/>
        </w:rPr>
        <w:t xml:space="preserve"> e</w:t>
      </w:r>
      <w:r w:rsidR="00CB0381">
        <w:rPr>
          <w:rFonts w:cs="Open Sans"/>
          <w:color w:val="000000"/>
          <w:shd w:val="clear" w:color="auto" w:fill="FFFFFF"/>
        </w:rPr>
        <w:t xml:space="preserve"> a inclusão do conceito de Grupos utilizado no Indicador de Situação Previdenciária</w:t>
      </w:r>
      <w:r w:rsidR="00FF0A12">
        <w:rPr>
          <w:rFonts w:cs="Open Sans"/>
          <w:color w:val="000000"/>
          <w:shd w:val="clear" w:color="auto" w:fill="FFFFFF"/>
        </w:rPr>
        <w:t xml:space="preserve"> </w:t>
      </w:r>
      <w:r w:rsidR="000566A3">
        <w:rPr>
          <w:rFonts w:cs="Open Sans"/>
          <w:color w:val="000000"/>
          <w:shd w:val="clear" w:color="auto" w:fill="FFFFFF"/>
        </w:rPr>
        <w:t>(</w:t>
      </w:r>
      <w:r w:rsidR="00FF0A12" w:rsidRPr="008020E0">
        <w:rPr>
          <w:rFonts w:cs="Open Sans"/>
          <w:color w:val="000000"/>
          <w:shd w:val="clear" w:color="auto" w:fill="FFFFFF"/>
        </w:rPr>
        <w:t>ISP-RPPS</w:t>
      </w:r>
      <w:r w:rsidR="000566A3">
        <w:rPr>
          <w:rFonts w:cs="Open Sans"/>
          <w:color w:val="000000"/>
          <w:shd w:val="clear" w:color="auto" w:fill="FFFFFF"/>
        </w:rPr>
        <w:t>)</w:t>
      </w:r>
      <w:r w:rsidR="00A519FB" w:rsidRPr="008720AB">
        <w:rPr>
          <w:rFonts w:cs="Open Sans"/>
          <w:color w:val="000000"/>
          <w:shd w:val="clear" w:color="auto" w:fill="FFFFFF"/>
        </w:rPr>
        <w:t>.</w:t>
      </w:r>
    </w:p>
    <w:p w14:paraId="2FAC0DE1" w14:textId="59E5267C" w:rsidR="00CB0381" w:rsidRPr="00C016F8" w:rsidRDefault="00FF0A12" w:rsidP="00CB0381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 xml:space="preserve">Esse </w:t>
      </w:r>
      <w:r w:rsidR="00386BDB">
        <w:rPr>
          <w:rFonts w:cs="Open Sans"/>
          <w:color w:val="000000"/>
          <w:shd w:val="clear" w:color="auto" w:fill="FFFFFF"/>
        </w:rPr>
        <w:t>I</w:t>
      </w:r>
      <w:r>
        <w:rPr>
          <w:rFonts w:cs="Open Sans"/>
          <w:color w:val="000000"/>
          <w:shd w:val="clear" w:color="auto" w:fill="FFFFFF"/>
        </w:rPr>
        <w:t>ndicador</w:t>
      </w:r>
      <w:r w:rsidR="00386BDB">
        <w:rPr>
          <w:rFonts w:cs="Open Sans"/>
          <w:color w:val="000000"/>
          <w:shd w:val="clear" w:color="auto" w:fill="FFFFFF"/>
        </w:rPr>
        <w:t>,</w:t>
      </w:r>
      <w:r>
        <w:rPr>
          <w:rFonts w:cs="Open Sans"/>
          <w:color w:val="000000"/>
          <w:shd w:val="clear" w:color="auto" w:fill="FFFFFF"/>
        </w:rPr>
        <w:t xml:space="preserve"> que avalia a situação dos RPPS por meio de subíndices agrupados em três eixos temáticos </w:t>
      </w:r>
      <w:r w:rsidR="00386BDB">
        <w:rPr>
          <w:rFonts w:cs="Open Sans"/>
          <w:color w:val="000000"/>
          <w:shd w:val="clear" w:color="auto" w:fill="FFFFFF"/>
        </w:rPr>
        <w:t>(</w:t>
      </w:r>
      <w:r>
        <w:rPr>
          <w:rFonts w:cs="Open Sans"/>
          <w:color w:val="000000"/>
          <w:shd w:val="clear" w:color="auto" w:fill="FFFFFF"/>
        </w:rPr>
        <w:t>conformidade, transparência e equilíbrio</w:t>
      </w:r>
      <w:r w:rsidR="00386BDB">
        <w:rPr>
          <w:rFonts w:cs="Open Sans"/>
          <w:color w:val="000000"/>
          <w:shd w:val="clear" w:color="auto" w:fill="FFFFFF"/>
        </w:rPr>
        <w:t>)</w:t>
      </w:r>
      <w:r>
        <w:rPr>
          <w:rStyle w:val="Refdenotaderodap"/>
          <w:rFonts w:cs="Open Sans"/>
          <w:color w:val="000000"/>
          <w:shd w:val="clear" w:color="auto" w:fill="FFFFFF"/>
        </w:rPr>
        <w:footnoteReference w:id="1"/>
      </w:r>
      <w:r w:rsidR="00CB0381">
        <w:rPr>
          <w:rFonts w:cs="Open Sans"/>
          <w:color w:val="000000"/>
          <w:shd w:val="clear" w:color="auto" w:fill="FFFFFF"/>
        </w:rPr>
        <w:t>,</w:t>
      </w:r>
      <w:r w:rsidR="00CB0381" w:rsidRPr="008020E0">
        <w:rPr>
          <w:rFonts w:cs="Open Sans"/>
          <w:color w:val="000000"/>
          <w:shd w:val="clear" w:color="auto" w:fill="FFFFFF"/>
        </w:rPr>
        <w:t xml:space="preserve"> </w:t>
      </w:r>
      <w:r>
        <w:rPr>
          <w:rFonts w:cs="Open Sans"/>
          <w:color w:val="000000"/>
          <w:shd w:val="clear" w:color="auto" w:fill="FFFFFF"/>
        </w:rPr>
        <w:t xml:space="preserve">foi </w:t>
      </w:r>
      <w:r w:rsidR="00CB0381" w:rsidRPr="008020E0">
        <w:rPr>
          <w:rFonts w:cs="Open Sans"/>
          <w:color w:val="000000"/>
          <w:shd w:val="clear" w:color="auto" w:fill="FFFFFF"/>
        </w:rPr>
        <w:t>instituído pela Portaria MF nº 01</w:t>
      </w:r>
      <w:r w:rsidR="00C016F8">
        <w:rPr>
          <w:rFonts w:cs="Open Sans"/>
          <w:color w:val="000000"/>
          <w:shd w:val="clear" w:color="auto" w:fill="FFFFFF"/>
        </w:rPr>
        <w:t>/</w:t>
      </w:r>
      <w:r w:rsidR="00CB0381" w:rsidRPr="008020E0">
        <w:rPr>
          <w:rFonts w:cs="Open Sans"/>
          <w:color w:val="000000"/>
          <w:shd w:val="clear" w:color="auto" w:fill="FFFFFF"/>
        </w:rPr>
        <w:t xml:space="preserve">2017, </w:t>
      </w:r>
      <w:r w:rsidR="00386BDB">
        <w:rPr>
          <w:rFonts w:cs="Open Sans"/>
          <w:color w:val="000000"/>
          <w:shd w:val="clear" w:color="auto" w:fill="FFFFFF"/>
        </w:rPr>
        <w:t xml:space="preserve">que </w:t>
      </w:r>
      <w:r w:rsidR="00C016F8">
        <w:rPr>
          <w:rFonts w:cs="Open Sans"/>
          <w:color w:val="000000"/>
          <w:shd w:val="clear" w:color="auto" w:fill="FFFFFF"/>
        </w:rPr>
        <w:t xml:space="preserve">alterou </w:t>
      </w:r>
      <w:r w:rsidR="00386BDB">
        <w:rPr>
          <w:rFonts w:cs="Open Sans"/>
          <w:color w:val="000000"/>
          <w:shd w:val="clear" w:color="auto" w:fill="FFFFFF"/>
        </w:rPr>
        <w:t>o art. 30 da Portaria MPS nº 402</w:t>
      </w:r>
      <w:r w:rsidR="00C016F8">
        <w:rPr>
          <w:rFonts w:cs="Open Sans"/>
          <w:color w:val="000000"/>
          <w:shd w:val="clear" w:color="auto" w:fill="FFFFFF"/>
        </w:rPr>
        <w:t xml:space="preserve">/2008, </w:t>
      </w:r>
      <w:r>
        <w:rPr>
          <w:rFonts w:cs="Open Sans"/>
          <w:color w:val="000000"/>
          <w:shd w:val="clear" w:color="auto" w:fill="FFFFFF"/>
        </w:rPr>
        <w:t xml:space="preserve">e </w:t>
      </w:r>
      <w:r w:rsidR="00CB0381">
        <w:rPr>
          <w:rFonts w:cs="Open Sans"/>
          <w:color w:val="000000"/>
          <w:shd w:val="clear" w:color="auto" w:fill="FFFFFF"/>
        </w:rPr>
        <w:t>utiliza, para fins de comparação do</w:t>
      </w:r>
      <w:r>
        <w:rPr>
          <w:rFonts w:cs="Open Sans"/>
          <w:color w:val="000000"/>
          <w:shd w:val="clear" w:color="auto" w:fill="FFFFFF"/>
        </w:rPr>
        <w:t>s</w:t>
      </w:r>
      <w:r w:rsidR="00CB0381">
        <w:rPr>
          <w:rFonts w:cs="Open Sans"/>
          <w:color w:val="000000"/>
          <w:shd w:val="clear" w:color="auto" w:fill="FFFFFF"/>
        </w:rPr>
        <w:t xml:space="preserve"> resultado</w:t>
      </w:r>
      <w:r>
        <w:rPr>
          <w:rFonts w:cs="Open Sans"/>
          <w:color w:val="000000"/>
          <w:shd w:val="clear" w:color="auto" w:fill="FFFFFF"/>
        </w:rPr>
        <w:t>s</w:t>
      </w:r>
      <w:r w:rsidR="00CB0381">
        <w:rPr>
          <w:rFonts w:cs="Open Sans"/>
          <w:color w:val="000000"/>
          <w:shd w:val="clear" w:color="auto" w:fill="FFFFFF"/>
        </w:rPr>
        <w:t xml:space="preserve"> apurado</w:t>
      </w:r>
      <w:r>
        <w:rPr>
          <w:rFonts w:cs="Open Sans"/>
          <w:color w:val="000000"/>
          <w:shd w:val="clear" w:color="auto" w:fill="FFFFFF"/>
        </w:rPr>
        <w:t>s</w:t>
      </w:r>
      <w:r w:rsidR="00CB0381">
        <w:rPr>
          <w:rFonts w:cs="Open Sans"/>
          <w:color w:val="000000"/>
          <w:shd w:val="clear" w:color="auto" w:fill="FFFFFF"/>
        </w:rPr>
        <w:t xml:space="preserve"> semestralmente, a divisão </w:t>
      </w:r>
      <w:r w:rsidR="00A3192C">
        <w:rPr>
          <w:rFonts w:cs="Open Sans"/>
          <w:color w:val="000000"/>
          <w:shd w:val="clear" w:color="auto" w:fill="FFFFFF"/>
        </w:rPr>
        <w:t xml:space="preserve">dos RPPS </w:t>
      </w:r>
      <w:r w:rsidR="00CB0381">
        <w:rPr>
          <w:rFonts w:cs="Open Sans"/>
          <w:color w:val="000000"/>
          <w:shd w:val="clear" w:color="auto" w:fill="FFFFFF"/>
        </w:rPr>
        <w:t>em grupos</w:t>
      </w:r>
      <w:r w:rsidR="00C016F8">
        <w:rPr>
          <w:rFonts w:cs="Open Sans"/>
          <w:color w:val="000000"/>
          <w:shd w:val="clear" w:color="auto" w:fill="FFFFFF"/>
        </w:rPr>
        <w:t>,</w:t>
      </w:r>
      <w:r w:rsidR="00CB0381">
        <w:rPr>
          <w:rFonts w:cs="Open Sans"/>
          <w:color w:val="000000"/>
          <w:shd w:val="clear" w:color="auto" w:fill="FFFFFF"/>
        </w:rPr>
        <w:t xml:space="preserve"> de acordo com o que </w:t>
      </w:r>
      <w:r w:rsidR="00CB0381" w:rsidRPr="00C016F8">
        <w:rPr>
          <w:rFonts w:cs="Open Sans"/>
          <w:color w:val="000000"/>
          <w:shd w:val="clear" w:color="auto" w:fill="FFFFFF"/>
        </w:rPr>
        <w:t xml:space="preserve">segue: </w:t>
      </w:r>
    </w:p>
    <w:p w14:paraId="769D3BAA" w14:textId="77777777" w:rsidR="00CB0381" w:rsidRPr="00E438B1" w:rsidRDefault="00CB0381" w:rsidP="00CB0381">
      <w:pPr>
        <w:pStyle w:val="PargrafodaLista"/>
        <w:numPr>
          <w:ilvl w:val="0"/>
          <w:numId w:val="3"/>
        </w:numPr>
        <w:jc w:val="both"/>
      </w:pPr>
      <w:r w:rsidRPr="00E438B1">
        <w:t>Grupo 1: Estados e Distrito Federal</w:t>
      </w:r>
    </w:p>
    <w:p w14:paraId="0906DB2D" w14:textId="77777777" w:rsidR="00CB0381" w:rsidRPr="00E438B1" w:rsidRDefault="00CB0381" w:rsidP="00CB0381">
      <w:pPr>
        <w:pStyle w:val="PargrafodaLista"/>
        <w:numPr>
          <w:ilvl w:val="0"/>
          <w:numId w:val="3"/>
        </w:numPr>
        <w:jc w:val="both"/>
      </w:pPr>
      <w:r w:rsidRPr="00E438B1">
        <w:t>Grupo 2: Capitais dos Estados</w:t>
      </w:r>
    </w:p>
    <w:p w14:paraId="67130EE8" w14:textId="77777777" w:rsidR="00CB0381" w:rsidRPr="00E438B1" w:rsidRDefault="00CB0381" w:rsidP="00CB0381">
      <w:pPr>
        <w:pStyle w:val="PargrafodaLista"/>
        <w:numPr>
          <w:ilvl w:val="0"/>
          <w:numId w:val="3"/>
        </w:numPr>
        <w:jc w:val="both"/>
      </w:pPr>
      <w:r w:rsidRPr="00E438B1">
        <w:t>Grupo 3: Municípios com população a partir de 400 mil habitantes</w:t>
      </w:r>
    </w:p>
    <w:p w14:paraId="612FD802" w14:textId="77777777" w:rsidR="00CB0381" w:rsidRPr="00E438B1" w:rsidRDefault="00CB0381" w:rsidP="00CB0381">
      <w:pPr>
        <w:pStyle w:val="PargrafodaLista"/>
        <w:numPr>
          <w:ilvl w:val="0"/>
          <w:numId w:val="3"/>
        </w:numPr>
        <w:jc w:val="both"/>
      </w:pPr>
      <w:r w:rsidRPr="00E438B1">
        <w:t>Grupo 4: Municípios com população entre 100 mil (inclusive) e 400 mil habitantes</w:t>
      </w:r>
    </w:p>
    <w:p w14:paraId="037EBCFE" w14:textId="77777777" w:rsidR="00CB0381" w:rsidRPr="00E438B1" w:rsidRDefault="00CB0381" w:rsidP="00CB0381">
      <w:pPr>
        <w:pStyle w:val="PargrafodaLista"/>
        <w:numPr>
          <w:ilvl w:val="0"/>
          <w:numId w:val="3"/>
        </w:numPr>
        <w:jc w:val="both"/>
      </w:pPr>
      <w:r w:rsidRPr="00E438B1">
        <w:t>Grupo 5: Municípios com população entre 50 mil (inclusive) e 100 mil habitantes</w:t>
      </w:r>
    </w:p>
    <w:p w14:paraId="3024FDD8" w14:textId="77777777" w:rsidR="00CB0381" w:rsidRPr="00E438B1" w:rsidRDefault="00CB0381" w:rsidP="00CB0381">
      <w:pPr>
        <w:pStyle w:val="PargrafodaLista"/>
        <w:numPr>
          <w:ilvl w:val="0"/>
          <w:numId w:val="3"/>
        </w:numPr>
        <w:jc w:val="both"/>
      </w:pPr>
      <w:r w:rsidRPr="00E438B1">
        <w:t>Grupo 6: Municípios com população entre 10 mil (inclusive) e 50 mil habitantes</w:t>
      </w:r>
    </w:p>
    <w:p w14:paraId="162B0955" w14:textId="77777777" w:rsidR="00CB0381" w:rsidRPr="00E438B1" w:rsidRDefault="00CB0381" w:rsidP="00CB0381">
      <w:pPr>
        <w:pStyle w:val="PargrafodaLista"/>
        <w:numPr>
          <w:ilvl w:val="0"/>
          <w:numId w:val="3"/>
        </w:numPr>
        <w:jc w:val="both"/>
      </w:pPr>
      <w:r w:rsidRPr="00E438B1">
        <w:lastRenderedPageBreak/>
        <w:t>Grupo 7: Municípios com menos de 10 mil habitantes</w:t>
      </w:r>
    </w:p>
    <w:p w14:paraId="2E4AD045" w14:textId="15D5BA12" w:rsidR="00305CC0" w:rsidRPr="008720AB" w:rsidRDefault="00C60D06" w:rsidP="007502AD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 xml:space="preserve">As informações que anteriormente </w:t>
      </w:r>
      <w:r w:rsidR="007502AD">
        <w:rPr>
          <w:rFonts w:cs="Open Sans"/>
          <w:color w:val="000000"/>
          <w:shd w:val="clear" w:color="auto" w:fill="FFFFFF"/>
        </w:rPr>
        <w:t>eram apresentadas no Capítulo 46 passam agora a constar do Suplemento Previdência do Servidor Público, que contará</w:t>
      </w:r>
      <w:r w:rsidR="00FB394E" w:rsidRPr="008720AB">
        <w:rPr>
          <w:rFonts w:cs="Open Sans"/>
          <w:color w:val="000000"/>
          <w:shd w:val="clear" w:color="auto" w:fill="FFFFFF"/>
        </w:rPr>
        <w:t xml:space="preserve"> </w:t>
      </w:r>
      <w:r w:rsidR="0094338B" w:rsidRPr="008720AB">
        <w:rPr>
          <w:rFonts w:cs="Open Sans"/>
          <w:color w:val="000000"/>
          <w:shd w:val="clear" w:color="auto" w:fill="FFFFFF"/>
        </w:rPr>
        <w:t xml:space="preserve">com </w:t>
      </w:r>
      <w:r w:rsidR="003A28D5" w:rsidRPr="008720AB">
        <w:rPr>
          <w:rFonts w:cs="Open Sans"/>
          <w:color w:val="000000"/>
          <w:shd w:val="clear" w:color="auto" w:fill="FFFFFF"/>
        </w:rPr>
        <w:t xml:space="preserve">dez </w:t>
      </w:r>
      <w:r w:rsidR="008F442A" w:rsidRPr="008720AB">
        <w:rPr>
          <w:rFonts w:cs="Open Sans"/>
          <w:color w:val="000000"/>
          <w:shd w:val="clear" w:color="auto" w:fill="FFFFFF"/>
        </w:rPr>
        <w:t xml:space="preserve">tabelas, </w:t>
      </w:r>
      <w:r w:rsidR="007502AD">
        <w:rPr>
          <w:rFonts w:cs="Open Sans"/>
          <w:color w:val="000000"/>
          <w:shd w:val="clear" w:color="auto" w:fill="FFFFFF"/>
        </w:rPr>
        <w:t>contemplando</w:t>
      </w:r>
      <w:r w:rsidR="008F442A" w:rsidRPr="008720AB">
        <w:rPr>
          <w:rFonts w:cs="Open Sans"/>
          <w:color w:val="000000"/>
          <w:shd w:val="clear" w:color="auto" w:fill="FFFFFF"/>
        </w:rPr>
        <w:t xml:space="preserve"> as seguintes informações</w:t>
      </w:r>
      <w:r w:rsidR="003A28D5" w:rsidRPr="008720AB">
        <w:rPr>
          <w:rFonts w:cs="Open Sans"/>
          <w:color w:val="000000"/>
          <w:shd w:val="clear" w:color="auto" w:fill="FFFFFF"/>
        </w:rPr>
        <w:t>:</w:t>
      </w:r>
    </w:p>
    <w:p w14:paraId="0724ACAE" w14:textId="6643B2AC" w:rsidR="003A28D5" w:rsidRPr="00983C51" w:rsidRDefault="007502AD" w:rsidP="00983C51">
      <w:pPr>
        <w:spacing w:after="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3A28D5" w:rsidRPr="00983C51">
        <w:rPr>
          <w:rFonts w:cs="Open Sans"/>
          <w:color w:val="000000"/>
          <w:shd w:val="clear" w:color="auto" w:fill="FFFFFF"/>
        </w:rPr>
        <w:t>.1 - Alíquotas de Contribuição dos RPPS</w:t>
      </w:r>
      <w:r w:rsidR="00B46EB5" w:rsidRPr="00983C51">
        <w:rPr>
          <w:rFonts w:cs="Open Sans"/>
          <w:color w:val="000000"/>
          <w:shd w:val="clear" w:color="auto" w:fill="FFFFFF"/>
        </w:rPr>
        <w:t xml:space="preserve"> dos Estados, Distrito Federal e Municípios</w:t>
      </w:r>
    </w:p>
    <w:p w14:paraId="250138DF" w14:textId="6E41CD2F" w:rsidR="00B46EB5" w:rsidRPr="00983C51" w:rsidRDefault="007502AD" w:rsidP="00983C51">
      <w:pPr>
        <w:spacing w:after="0"/>
        <w:ind w:left="708" w:firstLine="1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B46EB5" w:rsidRPr="00983C51">
        <w:rPr>
          <w:rFonts w:cs="Open Sans"/>
          <w:color w:val="000000"/>
          <w:shd w:val="clear" w:color="auto" w:fill="FFFFFF"/>
        </w:rPr>
        <w:t>.2 - Quantidade de Segurados e Remuneração Média dos RPPS dos Estados, Distrito Federal e Municípios</w:t>
      </w:r>
    </w:p>
    <w:p w14:paraId="3AEF9C8D" w14:textId="56A8E541" w:rsidR="00B46EB5" w:rsidRPr="00983C51" w:rsidRDefault="007502AD" w:rsidP="00983C51">
      <w:pPr>
        <w:spacing w:after="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B46EB5" w:rsidRPr="00983C51">
        <w:rPr>
          <w:rFonts w:cs="Open Sans"/>
          <w:color w:val="000000"/>
          <w:shd w:val="clear" w:color="auto" w:fill="FFFFFF"/>
        </w:rPr>
        <w:t>.3 - Resultado Financeiro dos RPPS dos Estados, Distrito Federal e Municípios</w:t>
      </w:r>
    </w:p>
    <w:p w14:paraId="1555A963" w14:textId="00409888" w:rsidR="00B46EB5" w:rsidRPr="00983C51" w:rsidRDefault="007502AD" w:rsidP="00983C51">
      <w:pPr>
        <w:spacing w:after="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B46EB5" w:rsidRPr="00983C51">
        <w:rPr>
          <w:rFonts w:cs="Open Sans"/>
          <w:color w:val="000000"/>
          <w:shd w:val="clear" w:color="auto" w:fill="FFFFFF"/>
        </w:rPr>
        <w:t>.4 - Resultado Atuarial dos RPPS dos Estados, Distrito Federal e Municípios</w:t>
      </w:r>
    </w:p>
    <w:p w14:paraId="124FFE7A" w14:textId="38527478" w:rsidR="00B46EB5" w:rsidRPr="00983C51" w:rsidRDefault="007502AD" w:rsidP="00983C51">
      <w:pPr>
        <w:spacing w:after="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B46EB5" w:rsidRPr="00983C51">
        <w:rPr>
          <w:rFonts w:cs="Open Sans"/>
          <w:color w:val="000000"/>
          <w:shd w:val="clear" w:color="auto" w:fill="FFFFFF"/>
        </w:rPr>
        <w:t xml:space="preserve">.5 - </w:t>
      </w:r>
      <w:r w:rsidR="001F4188" w:rsidRPr="00983C51">
        <w:rPr>
          <w:rFonts w:cs="Open Sans"/>
          <w:color w:val="000000"/>
          <w:shd w:val="clear" w:color="auto" w:fill="FFFFFF"/>
        </w:rPr>
        <w:t xml:space="preserve">Investimentos, </w:t>
      </w:r>
      <w:r w:rsidR="00B46EB5" w:rsidRPr="00983C51">
        <w:rPr>
          <w:rFonts w:cs="Open Sans"/>
          <w:color w:val="000000"/>
          <w:shd w:val="clear" w:color="auto" w:fill="FFFFFF"/>
        </w:rPr>
        <w:t>Ativos e Parcelamentos dos RPPS dos Estados, Distrito Federal e Municípios</w:t>
      </w:r>
    </w:p>
    <w:p w14:paraId="21E25B0D" w14:textId="389CB2CE" w:rsidR="003A28D5" w:rsidRPr="00983C51" w:rsidRDefault="007502AD" w:rsidP="00983C51">
      <w:pPr>
        <w:spacing w:after="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3A28D5" w:rsidRPr="00983C51">
        <w:rPr>
          <w:rFonts w:cs="Open Sans"/>
          <w:color w:val="000000"/>
          <w:shd w:val="clear" w:color="auto" w:fill="FFFFFF"/>
        </w:rPr>
        <w:t>.</w:t>
      </w:r>
      <w:r w:rsidR="00B46EB5" w:rsidRPr="00983C51">
        <w:rPr>
          <w:rFonts w:cs="Open Sans"/>
          <w:color w:val="000000"/>
          <w:shd w:val="clear" w:color="auto" w:fill="FFFFFF"/>
        </w:rPr>
        <w:t>6</w:t>
      </w:r>
      <w:r w:rsidR="003A28D5" w:rsidRPr="00983C51">
        <w:rPr>
          <w:rFonts w:cs="Open Sans"/>
          <w:color w:val="000000"/>
          <w:shd w:val="clear" w:color="auto" w:fill="FFFFFF"/>
        </w:rPr>
        <w:t xml:space="preserve"> - Quantidade de Servidores Civis, Aposentados e Pensionistas do RPPS da União</w:t>
      </w:r>
    </w:p>
    <w:p w14:paraId="03CBB534" w14:textId="17A030A5" w:rsidR="003A28D5" w:rsidRPr="00983C51" w:rsidRDefault="007502AD" w:rsidP="00983C51">
      <w:pPr>
        <w:spacing w:after="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3A28D5" w:rsidRPr="00983C51">
        <w:rPr>
          <w:rFonts w:cs="Open Sans"/>
          <w:color w:val="000000"/>
          <w:shd w:val="clear" w:color="auto" w:fill="FFFFFF"/>
        </w:rPr>
        <w:t>.</w:t>
      </w:r>
      <w:r w:rsidR="00B46EB5" w:rsidRPr="00983C51">
        <w:rPr>
          <w:rFonts w:cs="Open Sans"/>
          <w:color w:val="000000"/>
          <w:shd w:val="clear" w:color="auto" w:fill="FFFFFF"/>
        </w:rPr>
        <w:t>7</w:t>
      </w:r>
      <w:r w:rsidR="003A28D5" w:rsidRPr="00983C51">
        <w:rPr>
          <w:rFonts w:cs="Open Sans"/>
          <w:color w:val="000000"/>
          <w:shd w:val="clear" w:color="auto" w:fill="FFFFFF"/>
        </w:rPr>
        <w:t xml:space="preserve"> - </w:t>
      </w:r>
      <w:r w:rsidR="00B46EB5" w:rsidRPr="00983C51">
        <w:rPr>
          <w:rFonts w:cs="Open Sans"/>
          <w:color w:val="000000"/>
          <w:shd w:val="clear" w:color="auto" w:fill="FFFFFF"/>
        </w:rPr>
        <w:t xml:space="preserve">Remuneração </w:t>
      </w:r>
      <w:r w:rsidR="003A28D5" w:rsidRPr="00983C51">
        <w:rPr>
          <w:rFonts w:cs="Open Sans"/>
          <w:color w:val="000000"/>
          <w:shd w:val="clear" w:color="auto" w:fill="FFFFFF"/>
        </w:rPr>
        <w:t>Média dos Servidores Civis, Aposentados e Pensionistas do RPPS da União</w:t>
      </w:r>
    </w:p>
    <w:p w14:paraId="38F33733" w14:textId="330AF40C" w:rsidR="003A28D5" w:rsidRPr="00983C51" w:rsidRDefault="007502AD" w:rsidP="00983C51">
      <w:pPr>
        <w:spacing w:after="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3A28D5" w:rsidRPr="00983C51">
        <w:rPr>
          <w:rFonts w:cs="Open Sans"/>
          <w:color w:val="000000"/>
          <w:shd w:val="clear" w:color="auto" w:fill="FFFFFF"/>
        </w:rPr>
        <w:t>.</w:t>
      </w:r>
      <w:r w:rsidR="00B46EB5" w:rsidRPr="00983C51">
        <w:rPr>
          <w:rFonts w:cs="Open Sans"/>
          <w:color w:val="000000"/>
          <w:shd w:val="clear" w:color="auto" w:fill="FFFFFF"/>
        </w:rPr>
        <w:t>8</w:t>
      </w:r>
      <w:r w:rsidR="003A28D5" w:rsidRPr="00983C51">
        <w:rPr>
          <w:rFonts w:cs="Open Sans"/>
          <w:color w:val="000000"/>
          <w:shd w:val="clear" w:color="auto" w:fill="FFFFFF"/>
        </w:rPr>
        <w:t xml:space="preserve"> - Idade </w:t>
      </w:r>
      <w:r w:rsidR="00B46EB5" w:rsidRPr="00983C51">
        <w:rPr>
          <w:rFonts w:cs="Open Sans"/>
          <w:color w:val="000000"/>
          <w:shd w:val="clear" w:color="auto" w:fill="FFFFFF"/>
        </w:rPr>
        <w:t xml:space="preserve">Média </w:t>
      </w:r>
      <w:r w:rsidR="003A28D5" w:rsidRPr="00983C51">
        <w:rPr>
          <w:rFonts w:cs="Open Sans"/>
          <w:color w:val="000000"/>
          <w:shd w:val="clear" w:color="auto" w:fill="FFFFFF"/>
        </w:rPr>
        <w:t>dos Servidores Civis, Aposentados e Pensionistas do RPPS da União</w:t>
      </w:r>
    </w:p>
    <w:p w14:paraId="659978EA" w14:textId="5B230C14" w:rsidR="003A28D5" w:rsidRPr="00983C51" w:rsidRDefault="007502AD" w:rsidP="00983C51">
      <w:pPr>
        <w:spacing w:after="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3A28D5" w:rsidRPr="00983C51">
        <w:rPr>
          <w:rFonts w:cs="Open Sans"/>
          <w:color w:val="000000"/>
          <w:shd w:val="clear" w:color="auto" w:fill="FFFFFF"/>
        </w:rPr>
        <w:t>.</w:t>
      </w:r>
      <w:r w:rsidR="00B46EB5" w:rsidRPr="00983C51">
        <w:rPr>
          <w:rFonts w:cs="Open Sans"/>
          <w:color w:val="000000"/>
          <w:shd w:val="clear" w:color="auto" w:fill="FFFFFF"/>
        </w:rPr>
        <w:t>9</w:t>
      </w:r>
      <w:r w:rsidR="003A28D5" w:rsidRPr="00983C51">
        <w:rPr>
          <w:rFonts w:cs="Open Sans"/>
          <w:color w:val="000000"/>
          <w:shd w:val="clear" w:color="auto" w:fill="FFFFFF"/>
        </w:rPr>
        <w:t xml:space="preserve"> - Quantidade de Militares Ativos, Inativos e Pensionistas da União</w:t>
      </w:r>
    </w:p>
    <w:p w14:paraId="4BC09D99" w14:textId="3BAD57E6" w:rsidR="003A28D5" w:rsidRPr="00983C51" w:rsidRDefault="007502AD" w:rsidP="00983C51">
      <w:pPr>
        <w:spacing w:after="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>1</w:t>
      </w:r>
      <w:r w:rsidR="003A28D5" w:rsidRPr="00983C51">
        <w:rPr>
          <w:rFonts w:cs="Open Sans"/>
          <w:color w:val="000000"/>
          <w:shd w:val="clear" w:color="auto" w:fill="FFFFFF"/>
        </w:rPr>
        <w:t>.</w:t>
      </w:r>
      <w:r w:rsidR="00B46EB5" w:rsidRPr="00983C51">
        <w:rPr>
          <w:rFonts w:cs="Open Sans"/>
          <w:color w:val="000000"/>
          <w:shd w:val="clear" w:color="auto" w:fill="FFFFFF"/>
        </w:rPr>
        <w:t>10</w:t>
      </w:r>
      <w:r w:rsidR="003A28D5" w:rsidRPr="00983C51">
        <w:rPr>
          <w:rFonts w:cs="Open Sans"/>
          <w:color w:val="000000"/>
          <w:shd w:val="clear" w:color="auto" w:fill="FFFFFF"/>
        </w:rPr>
        <w:t xml:space="preserve"> - Resultado Financeiro do RPPS da União </w:t>
      </w:r>
      <w:r w:rsidR="002D0E5A" w:rsidRPr="00983C51">
        <w:rPr>
          <w:rFonts w:cs="Open Sans"/>
          <w:color w:val="000000"/>
          <w:shd w:val="clear" w:color="auto" w:fill="FFFFFF"/>
        </w:rPr>
        <w:t>(Evolução 2007 a 2017)</w:t>
      </w:r>
    </w:p>
    <w:p w14:paraId="376AC256" w14:textId="01F6B841" w:rsidR="002D0E5A" w:rsidRPr="008720AB" w:rsidRDefault="00BC5B5A" w:rsidP="008020E0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 xml:space="preserve">As tabelas </w:t>
      </w:r>
      <w:r w:rsidR="007502AD">
        <w:rPr>
          <w:rFonts w:cs="Open Sans"/>
          <w:color w:val="000000"/>
          <w:shd w:val="clear" w:color="auto" w:fill="FFFFFF"/>
        </w:rPr>
        <w:t>1</w:t>
      </w:r>
      <w:r w:rsidRPr="008720AB">
        <w:rPr>
          <w:rFonts w:cs="Open Sans"/>
          <w:color w:val="000000"/>
          <w:shd w:val="clear" w:color="auto" w:fill="FFFFFF"/>
        </w:rPr>
        <w:t xml:space="preserve">.1 a </w:t>
      </w:r>
      <w:r w:rsidR="007502AD">
        <w:rPr>
          <w:rFonts w:cs="Open Sans"/>
          <w:color w:val="000000"/>
          <w:shd w:val="clear" w:color="auto" w:fill="FFFFFF"/>
        </w:rPr>
        <w:t>1</w:t>
      </w:r>
      <w:r w:rsidRPr="008720AB">
        <w:rPr>
          <w:rFonts w:cs="Open Sans"/>
          <w:color w:val="000000"/>
          <w:shd w:val="clear" w:color="auto" w:fill="FFFFFF"/>
        </w:rPr>
        <w:t>.5</w:t>
      </w:r>
      <w:r w:rsidR="007502AD">
        <w:rPr>
          <w:rFonts w:cs="Open Sans"/>
          <w:color w:val="000000"/>
          <w:shd w:val="clear" w:color="auto" w:fill="FFFFFF"/>
        </w:rPr>
        <w:t xml:space="preserve"> do Suplemento traze</w:t>
      </w:r>
      <w:r w:rsidRPr="008720AB">
        <w:rPr>
          <w:rFonts w:cs="Open Sans"/>
          <w:color w:val="000000"/>
          <w:shd w:val="clear" w:color="auto" w:fill="FFFFFF"/>
        </w:rPr>
        <w:t>m as informações dos entes subnacionais (Estados, Distrito Federal e Municípios)</w:t>
      </w:r>
      <w:r w:rsidR="007502AD">
        <w:rPr>
          <w:rFonts w:cs="Open Sans"/>
          <w:color w:val="000000"/>
          <w:shd w:val="clear" w:color="auto" w:fill="FFFFFF"/>
        </w:rPr>
        <w:t xml:space="preserve"> e</w:t>
      </w:r>
      <w:r w:rsidRPr="008720AB">
        <w:rPr>
          <w:rFonts w:cs="Open Sans"/>
          <w:color w:val="000000"/>
          <w:shd w:val="clear" w:color="auto" w:fill="FFFFFF"/>
        </w:rPr>
        <w:t xml:space="preserve"> </w:t>
      </w:r>
      <w:r w:rsidR="003721E4" w:rsidRPr="008720AB">
        <w:rPr>
          <w:rFonts w:cs="Open Sans"/>
          <w:color w:val="000000"/>
          <w:shd w:val="clear" w:color="auto" w:fill="FFFFFF"/>
        </w:rPr>
        <w:t>têm como grande novidade o fato de passarem a apresentar as informações desagregadas de cada ente federativo. Dessa forma, é possível verificar a situação de cada um dos 2.123 RPPS existentes no final de 2017. Além disso, permite-se que os interessados possam, para fins comparativos, filtrar e agrupar as informações por unidade da federação, região geográfica e grupo</w:t>
      </w:r>
      <w:r w:rsidR="00A3192C">
        <w:t>.</w:t>
      </w:r>
    </w:p>
    <w:p w14:paraId="15AE2939" w14:textId="700C7563" w:rsidR="00293F69" w:rsidRPr="008720AB" w:rsidRDefault="00293F69" w:rsidP="008020E0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As informações d</w:t>
      </w:r>
      <w:r w:rsidR="00BD0551" w:rsidRPr="008720AB">
        <w:rPr>
          <w:rFonts w:cs="Open Sans"/>
          <w:color w:val="000000"/>
          <w:shd w:val="clear" w:color="auto" w:fill="FFFFFF"/>
        </w:rPr>
        <w:t xml:space="preserve">o RPPS da </w:t>
      </w:r>
      <w:r w:rsidRPr="008720AB">
        <w:rPr>
          <w:rFonts w:cs="Open Sans"/>
          <w:color w:val="000000"/>
          <w:shd w:val="clear" w:color="auto" w:fill="FFFFFF"/>
        </w:rPr>
        <w:t xml:space="preserve">União, por terem fonte e </w:t>
      </w:r>
      <w:r w:rsidR="00BD0551" w:rsidRPr="008720AB">
        <w:rPr>
          <w:rFonts w:cs="Open Sans"/>
          <w:color w:val="000000"/>
          <w:shd w:val="clear" w:color="auto" w:fill="FFFFFF"/>
        </w:rPr>
        <w:t xml:space="preserve">grau de detalhamento diferenciados, são apresentadas separadamente, </w:t>
      </w:r>
      <w:r w:rsidRPr="008720AB">
        <w:rPr>
          <w:rFonts w:cs="Open Sans"/>
          <w:color w:val="000000"/>
          <w:shd w:val="clear" w:color="auto" w:fill="FFFFFF"/>
        </w:rPr>
        <w:t xml:space="preserve">nas tabelas </w:t>
      </w:r>
      <w:r w:rsidR="007502AD">
        <w:rPr>
          <w:rFonts w:cs="Open Sans"/>
          <w:color w:val="000000"/>
          <w:shd w:val="clear" w:color="auto" w:fill="FFFFFF"/>
        </w:rPr>
        <w:t>1</w:t>
      </w:r>
      <w:r w:rsidRPr="008720AB">
        <w:rPr>
          <w:rFonts w:cs="Open Sans"/>
          <w:color w:val="000000"/>
          <w:shd w:val="clear" w:color="auto" w:fill="FFFFFF"/>
        </w:rPr>
        <w:t xml:space="preserve">.6 a </w:t>
      </w:r>
      <w:r w:rsidR="007502AD">
        <w:rPr>
          <w:rFonts w:cs="Open Sans"/>
          <w:color w:val="000000"/>
          <w:shd w:val="clear" w:color="auto" w:fill="FFFFFF"/>
        </w:rPr>
        <w:t>1</w:t>
      </w:r>
      <w:r w:rsidRPr="008720AB">
        <w:rPr>
          <w:rFonts w:cs="Open Sans"/>
          <w:color w:val="000000"/>
          <w:shd w:val="clear" w:color="auto" w:fill="FFFFFF"/>
        </w:rPr>
        <w:t>.10</w:t>
      </w:r>
      <w:r w:rsidR="007502AD">
        <w:rPr>
          <w:rFonts w:cs="Open Sans"/>
          <w:color w:val="000000"/>
          <w:shd w:val="clear" w:color="auto" w:fill="FFFFFF"/>
        </w:rPr>
        <w:t xml:space="preserve"> do Suplemento</w:t>
      </w:r>
      <w:r w:rsidR="00BD0551" w:rsidRPr="008720AB">
        <w:rPr>
          <w:rFonts w:cs="Open Sans"/>
          <w:color w:val="000000"/>
          <w:shd w:val="clear" w:color="auto" w:fill="FFFFFF"/>
        </w:rPr>
        <w:t>.</w:t>
      </w:r>
    </w:p>
    <w:p w14:paraId="55702A3A" w14:textId="29B11F69" w:rsidR="00207E02" w:rsidRPr="008720AB" w:rsidRDefault="00207E02" w:rsidP="008020E0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 xml:space="preserve">Além das tabelas </w:t>
      </w:r>
      <w:r w:rsidR="00332C26" w:rsidRPr="008720AB">
        <w:rPr>
          <w:rFonts w:cs="Open Sans"/>
          <w:color w:val="000000"/>
          <w:shd w:val="clear" w:color="auto" w:fill="FFFFFF"/>
        </w:rPr>
        <w:t xml:space="preserve">do </w:t>
      </w:r>
      <w:r w:rsidR="00E53D18">
        <w:rPr>
          <w:rFonts w:cs="Open Sans"/>
          <w:color w:val="000000"/>
          <w:shd w:val="clear" w:color="auto" w:fill="FFFFFF"/>
        </w:rPr>
        <w:t>Suplemento</w:t>
      </w:r>
      <w:r w:rsidR="00332C26" w:rsidRPr="008720AB">
        <w:rPr>
          <w:rFonts w:cs="Open Sans"/>
          <w:color w:val="000000"/>
          <w:shd w:val="clear" w:color="auto" w:fill="FFFFFF"/>
        </w:rPr>
        <w:t xml:space="preserve">, </w:t>
      </w:r>
      <w:r w:rsidR="00C56A2B" w:rsidRPr="008720AB">
        <w:rPr>
          <w:rFonts w:cs="Open Sans"/>
          <w:color w:val="000000"/>
          <w:shd w:val="clear" w:color="auto" w:fill="FFFFFF"/>
        </w:rPr>
        <w:t>foram incorporados n</w:t>
      </w:r>
      <w:r w:rsidR="00332C26" w:rsidRPr="008720AB">
        <w:rPr>
          <w:rFonts w:cs="Open Sans"/>
          <w:color w:val="000000"/>
          <w:shd w:val="clear" w:color="auto" w:fill="FFFFFF"/>
        </w:rPr>
        <w:t xml:space="preserve">esta </w:t>
      </w:r>
      <w:r w:rsidR="00D94C02">
        <w:rPr>
          <w:rFonts w:cs="Open Sans"/>
          <w:color w:val="000000"/>
          <w:shd w:val="clear" w:color="auto" w:fill="FFFFFF"/>
        </w:rPr>
        <w:t>S</w:t>
      </w:r>
      <w:r w:rsidR="00332C26" w:rsidRPr="008720AB">
        <w:rPr>
          <w:rFonts w:cs="Open Sans"/>
          <w:color w:val="000000"/>
          <w:shd w:val="clear" w:color="auto" w:fill="FFFFFF"/>
        </w:rPr>
        <w:t>eção XIV</w:t>
      </w:r>
      <w:r w:rsidR="00C56A2B" w:rsidRPr="008720AB">
        <w:rPr>
          <w:rFonts w:cs="Open Sans"/>
          <w:color w:val="000000"/>
          <w:shd w:val="clear" w:color="auto" w:fill="FFFFFF"/>
        </w:rPr>
        <w:t xml:space="preserve"> diversos gráficos e tabelas que permitem ao leitor ter acesso a uma visão geral sobre a Previdência do </w:t>
      </w:r>
      <w:r w:rsidR="0059720F" w:rsidRPr="008720AB">
        <w:rPr>
          <w:rFonts w:cs="Open Sans"/>
          <w:color w:val="000000"/>
          <w:shd w:val="clear" w:color="auto" w:fill="FFFFFF"/>
        </w:rPr>
        <w:t>Servidor Público no Brasil, conforme passa-se a descrever.</w:t>
      </w:r>
    </w:p>
    <w:p w14:paraId="4B10C797" w14:textId="3602870B" w:rsidR="00C326B6" w:rsidRPr="008720AB" w:rsidRDefault="0059720F" w:rsidP="008020E0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 xml:space="preserve">A </w:t>
      </w:r>
      <w:r w:rsidR="00E06DA6" w:rsidRPr="008720AB">
        <w:rPr>
          <w:rFonts w:cs="Open Sans"/>
          <w:color w:val="000000"/>
          <w:shd w:val="clear" w:color="auto" w:fill="FFFFFF"/>
        </w:rPr>
        <w:t>t</w:t>
      </w:r>
      <w:r w:rsidRPr="008720AB">
        <w:rPr>
          <w:rFonts w:cs="Open Sans"/>
          <w:color w:val="000000"/>
          <w:shd w:val="clear" w:color="auto" w:fill="FFFFFF"/>
        </w:rPr>
        <w:t>abela XIV.01 mostra a evolução do regime previdenciário adotado pelos entes da federação (RGPS ou RPPS),</w:t>
      </w:r>
      <w:r w:rsidR="009A7065">
        <w:rPr>
          <w:rFonts w:cs="Open Sans"/>
          <w:color w:val="000000"/>
          <w:shd w:val="clear" w:color="auto" w:fill="FFFFFF"/>
        </w:rPr>
        <w:t xml:space="preserve"> para os servidores </w:t>
      </w:r>
      <w:r w:rsidR="00D94C02">
        <w:rPr>
          <w:rFonts w:cs="Open Sans"/>
          <w:color w:val="000000"/>
          <w:shd w:val="clear" w:color="auto" w:fill="FFFFFF"/>
        </w:rPr>
        <w:t>titulares</w:t>
      </w:r>
      <w:r w:rsidR="009A7065">
        <w:rPr>
          <w:rFonts w:cs="Open Sans"/>
          <w:color w:val="000000"/>
          <w:shd w:val="clear" w:color="auto" w:fill="FFFFFF"/>
        </w:rPr>
        <w:t xml:space="preserve"> de cargo efetivo,</w:t>
      </w:r>
      <w:r w:rsidRPr="008720AB">
        <w:rPr>
          <w:rFonts w:cs="Open Sans"/>
          <w:color w:val="000000"/>
          <w:shd w:val="clear" w:color="auto" w:fill="FFFFFF"/>
        </w:rPr>
        <w:t xml:space="preserve"> no período de 2007 a 2017. Observa-se que ao longo desse período tem ocorrido um aumento gradual do número de RPPS, pela sua instituição </w:t>
      </w:r>
      <w:r w:rsidR="00295FD6" w:rsidRPr="008720AB">
        <w:rPr>
          <w:rFonts w:cs="Open Sans"/>
          <w:color w:val="000000"/>
          <w:shd w:val="clear" w:color="auto" w:fill="FFFFFF"/>
        </w:rPr>
        <w:t xml:space="preserve">em </w:t>
      </w:r>
      <w:r w:rsidR="00D94C02">
        <w:rPr>
          <w:rFonts w:cs="Open Sans"/>
          <w:color w:val="000000"/>
          <w:shd w:val="clear" w:color="auto" w:fill="FFFFFF"/>
        </w:rPr>
        <w:t>mais</w:t>
      </w:r>
      <w:r w:rsidR="00295FD6" w:rsidRPr="008720AB">
        <w:rPr>
          <w:rFonts w:cs="Open Sans"/>
          <w:color w:val="000000"/>
          <w:shd w:val="clear" w:color="auto" w:fill="FFFFFF"/>
        </w:rPr>
        <w:t xml:space="preserve"> Municípios.</w:t>
      </w:r>
    </w:p>
    <w:p w14:paraId="5DC5C17F" w14:textId="77777777" w:rsidR="003F0723" w:rsidRPr="00C17465" w:rsidRDefault="003F0723" w:rsidP="00983C5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0" w:name="_Toc525894861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</w:t>
      </w:r>
      <w:r w:rsidR="00543B57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0</w:t>
      </w:r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1 - Regime Previdenciário de Estados, Distrito Federal e Municípios (Evolução 2007 a 2017)</w:t>
      </w:r>
      <w:bookmarkEnd w:id="0"/>
    </w:p>
    <w:p w14:paraId="069D1695" w14:textId="77777777" w:rsidR="0079132D" w:rsidRPr="008720AB" w:rsidRDefault="0079132D" w:rsidP="003F0723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noProof/>
          <w:lang w:eastAsia="pt-BR"/>
        </w:rPr>
        <w:drawing>
          <wp:inline distT="0" distB="0" distL="0" distR="0" wp14:anchorId="0E432413" wp14:editId="5D8867C5">
            <wp:extent cx="6188710" cy="578574"/>
            <wp:effectExtent l="0" t="0" r="2540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7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805C1" w14:textId="77777777" w:rsidR="003F0723" w:rsidRPr="008720AB" w:rsidRDefault="003F0723" w:rsidP="003F0723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6A4E02" w:rsidRPr="008720AB">
        <w:rPr>
          <w:rFonts w:cs="Open Sans"/>
          <w:color w:val="000000"/>
          <w:sz w:val="16"/>
          <w:szCs w:val="16"/>
          <w:shd w:val="clear" w:color="auto" w:fill="FFFFFF"/>
        </w:rPr>
        <w:t xml:space="preserve">posição em dezembro/2017, conforme base de dados extraída 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em 30/04/2018)</w:t>
      </w:r>
    </w:p>
    <w:p w14:paraId="3E819CB9" w14:textId="1A03715D" w:rsidR="00D93413" w:rsidRPr="008720AB" w:rsidRDefault="00295FD6" w:rsidP="00A3192C">
      <w:pPr>
        <w:spacing w:before="36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 xml:space="preserve">A </w:t>
      </w:r>
      <w:r w:rsidR="00E06DA6" w:rsidRPr="008720AB">
        <w:rPr>
          <w:rFonts w:cs="Open Sans"/>
          <w:color w:val="000000"/>
          <w:shd w:val="clear" w:color="auto" w:fill="FFFFFF"/>
        </w:rPr>
        <w:t>t</w:t>
      </w:r>
      <w:r w:rsidRPr="008720AB">
        <w:rPr>
          <w:rFonts w:cs="Open Sans"/>
          <w:color w:val="000000"/>
          <w:shd w:val="clear" w:color="auto" w:fill="FFFFFF"/>
        </w:rPr>
        <w:t>abela XIV.02 complementa a anterior, mostrando a distribuição do regime previdenciário por grupos. Observa-</w:t>
      </w:r>
      <w:r w:rsidR="00D93413" w:rsidRPr="008720AB">
        <w:rPr>
          <w:rFonts w:cs="Open Sans"/>
          <w:color w:val="000000"/>
          <w:shd w:val="clear" w:color="auto" w:fill="FFFFFF"/>
        </w:rPr>
        <w:t>se que nos grupos 1, 2 e 3 (Estados/D</w:t>
      </w:r>
      <w:r w:rsidR="001F7963" w:rsidRPr="008720AB">
        <w:rPr>
          <w:rFonts w:cs="Open Sans"/>
          <w:color w:val="000000"/>
          <w:shd w:val="clear" w:color="auto" w:fill="FFFFFF"/>
        </w:rPr>
        <w:t>istrito Federal</w:t>
      </w:r>
      <w:r w:rsidR="00D93413" w:rsidRPr="008720AB">
        <w:rPr>
          <w:rFonts w:cs="Open Sans"/>
          <w:color w:val="000000"/>
          <w:shd w:val="clear" w:color="auto" w:fill="FFFFFF"/>
        </w:rPr>
        <w:t xml:space="preserve">, Capitais e Municípios acima de 400 mil habitantes) a quase totalidade dos entes possui RPPS para seus servidores e nos grupos 4 e 5 (Municípios acima de 100 mil e acima de 50 mil habitantes) o RPPS é o regime mais adotado, enquanto nos grupos 6 e 7 </w:t>
      </w:r>
      <w:r w:rsidR="00D93413" w:rsidRPr="008720AB">
        <w:rPr>
          <w:rFonts w:cs="Open Sans"/>
          <w:color w:val="000000"/>
          <w:shd w:val="clear" w:color="auto" w:fill="FFFFFF"/>
        </w:rPr>
        <w:lastRenderedPageBreak/>
        <w:t xml:space="preserve">(Municípios acima de 10 mil e abaixo de 10 mil habitantes) prevalece </w:t>
      </w:r>
      <w:r w:rsidR="009A7065">
        <w:rPr>
          <w:rFonts w:cs="Open Sans"/>
          <w:color w:val="000000"/>
          <w:shd w:val="clear" w:color="auto" w:fill="FFFFFF"/>
        </w:rPr>
        <w:t>a vinculação dos servidores efetivos ao</w:t>
      </w:r>
      <w:r w:rsidR="009A7065" w:rsidRPr="008720AB">
        <w:rPr>
          <w:rFonts w:cs="Open Sans"/>
          <w:color w:val="000000"/>
          <w:shd w:val="clear" w:color="auto" w:fill="FFFFFF"/>
        </w:rPr>
        <w:t xml:space="preserve"> </w:t>
      </w:r>
      <w:r w:rsidR="00D93413" w:rsidRPr="008720AB">
        <w:rPr>
          <w:rFonts w:cs="Open Sans"/>
          <w:color w:val="000000"/>
          <w:shd w:val="clear" w:color="auto" w:fill="FFFFFF"/>
        </w:rPr>
        <w:t>RGPS.</w:t>
      </w:r>
      <w:r w:rsidR="009A7065">
        <w:rPr>
          <w:rFonts w:cs="Open Sans"/>
          <w:color w:val="000000"/>
          <w:shd w:val="clear" w:color="auto" w:fill="FFFFFF"/>
        </w:rPr>
        <w:t xml:space="preserve"> </w:t>
      </w:r>
    </w:p>
    <w:p w14:paraId="02BD7F51" w14:textId="77777777" w:rsidR="003F0723" w:rsidRPr="00C17465" w:rsidRDefault="00D93413" w:rsidP="00983C5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</w:t>
      </w:r>
      <w:bookmarkStart w:id="1" w:name="_Toc525894862"/>
      <w:r w:rsidR="003F0723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</w:t>
      </w:r>
      <w:r w:rsidR="00543B57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0</w:t>
      </w:r>
      <w:r w:rsidR="003F0723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2 - Regime Previdenciário, distribuição por Grupos, em 2017</w:t>
      </w:r>
      <w:bookmarkEnd w:id="1"/>
    </w:p>
    <w:p w14:paraId="3ACA04B1" w14:textId="77777777" w:rsidR="003F0723" w:rsidRPr="008720AB" w:rsidRDefault="003F0723" w:rsidP="003F0723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5CD7B1CD" wp14:editId="00C7E79C">
            <wp:extent cx="3667760" cy="1295400"/>
            <wp:effectExtent l="0" t="0" r="889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76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2D1F7" w14:textId="77777777" w:rsidR="003F0723" w:rsidRPr="008720AB" w:rsidRDefault="003F0723" w:rsidP="003F0723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6A4E02" w:rsidRPr="008720AB">
        <w:rPr>
          <w:rFonts w:cs="Open Sans"/>
          <w:color w:val="000000"/>
          <w:sz w:val="16"/>
          <w:szCs w:val="16"/>
          <w:shd w:val="clear" w:color="auto" w:fill="FFFFFF"/>
        </w:rPr>
        <w:t>posição em dezembro/2017, conforme base de dados extraída em 30/04/2018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)</w:t>
      </w:r>
    </w:p>
    <w:p w14:paraId="19DDF582" w14:textId="336F8215" w:rsidR="002C5BC1" w:rsidRPr="008720AB" w:rsidRDefault="001058D1" w:rsidP="00A3192C">
      <w:pPr>
        <w:spacing w:before="36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 xml:space="preserve">A </w:t>
      </w:r>
      <w:r w:rsidR="00E06DA6" w:rsidRPr="008720AB">
        <w:rPr>
          <w:rFonts w:cs="Open Sans"/>
          <w:color w:val="000000"/>
          <w:shd w:val="clear" w:color="auto" w:fill="FFFFFF"/>
        </w:rPr>
        <w:t>t</w:t>
      </w:r>
      <w:r w:rsidRPr="008720AB">
        <w:rPr>
          <w:rFonts w:cs="Open Sans"/>
          <w:color w:val="000000"/>
          <w:shd w:val="clear" w:color="auto" w:fill="FFFFFF"/>
        </w:rPr>
        <w:t>abela XIV.03 continua a tratar da distribuição do regime previdenciário, agora por unidade da federação. Verifica-se que não há uniformidade nessa distribuição, existindo Estados com grande proporção de RPPS (exemplos de RJ</w:t>
      </w:r>
      <w:r w:rsidR="0025466A" w:rsidRPr="008720AB">
        <w:rPr>
          <w:rFonts w:cs="Open Sans"/>
          <w:color w:val="000000"/>
          <w:shd w:val="clear" w:color="auto" w:fill="FFFFFF"/>
        </w:rPr>
        <w:t xml:space="preserve">, PE, MT e AL, com mais de 70%) e outros com proporção muito baixa (exemplos de AC, BA e SE, com menos de 10%). </w:t>
      </w:r>
      <w:r w:rsidR="002C5BC1" w:rsidRPr="008720AB">
        <w:rPr>
          <w:rFonts w:cs="Open Sans"/>
          <w:color w:val="000000"/>
          <w:shd w:val="clear" w:color="auto" w:fill="FFFFFF"/>
        </w:rPr>
        <w:t>O movimento de instituição e manutenção de RPPS parece atender a fatores de ordem local, pois há grande disparidade dentro de uma região geográfica (por exemplo, na região Sul: RS - 65,9%; PR - 44,0%; SC - 23,6%) e mesmo em Estados viz</w:t>
      </w:r>
      <w:r w:rsidR="0022674D" w:rsidRPr="008720AB">
        <w:rPr>
          <w:rFonts w:cs="Open Sans"/>
          <w:color w:val="000000"/>
          <w:shd w:val="clear" w:color="auto" w:fill="FFFFFF"/>
        </w:rPr>
        <w:t>inhos com características semelhantes (caso de AL - 70,9% e SE - 5,3%).</w:t>
      </w:r>
    </w:p>
    <w:p w14:paraId="73202A9B" w14:textId="77777777" w:rsidR="003F0723" w:rsidRPr="00C17465" w:rsidRDefault="003F0723" w:rsidP="00983C5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2" w:name="_Toc525894863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</w:t>
      </w:r>
      <w:r w:rsidR="00543B57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0</w:t>
      </w:r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3 - Regime Previdenciário, distribuição por UF, em 2017</w:t>
      </w:r>
      <w:bookmarkEnd w:id="2"/>
    </w:p>
    <w:p w14:paraId="340F66DC" w14:textId="77777777" w:rsidR="003F0723" w:rsidRPr="008720AB" w:rsidRDefault="003F0723" w:rsidP="003F0723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23A2B19B" wp14:editId="090B665C">
            <wp:extent cx="3234978" cy="3665113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922" cy="3686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9C4C9" w14:textId="77777777" w:rsidR="003F0723" w:rsidRPr="008720AB" w:rsidRDefault="003F0723" w:rsidP="003F0723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6A4E02" w:rsidRPr="008720AB">
        <w:rPr>
          <w:rFonts w:cs="Open Sans"/>
          <w:color w:val="000000"/>
          <w:sz w:val="16"/>
          <w:szCs w:val="16"/>
          <w:shd w:val="clear" w:color="auto" w:fill="FFFFFF"/>
        </w:rPr>
        <w:t>posição em dezembro/2017, conforme base de dados extraída em 30/04/2018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)</w:t>
      </w:r>
    </w:p>
    <w:p w14:paraId="1C2F3C12" w14:textId="5ECBC4FB" w:rsidR="0022674D" w:rsidRPr="008720AB" w:rsidRDefault="0022674D" w:rsidP="008E52DC">
      <w:pPr>
        <w:spacing w:before="36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 xml:space="preserve">Na sequência os </w:t>
      </w:r>
      <w:r w:rsidR="00E06DA6" w:rsidRPr="008720AB">
        <w:rPr>
          <w:rFonts w:cs="Open Sans"/>
          <w:color w:val="000000"/>
          <w:shd w:val="clear" w:color="auto" w:fill="FFFFFF"/>
        </w:rPr>
        <w:t>g</w:t>
      </w:r>
      <w:r w:rsidRPr="008720AB">
        <w:rPr>
          <w:rFonts w:cs="Open Sans"/>
          <w:color w:val="000000"/>
          <w:shd w:val="clear" w:color="auto" w:fill="FFFFFF"/>
        </w:rPr>
        <w:t xml:space="preserve">ráficos XIV.01 e XIV.02, que espelham as informações contidas nas </w:t>
      </w:r>
      <w:r w:rsidR="00E06DA6" w:rsidRPr="008720AB">
        <w:rPr>
          <w:rFonts w:cs="Open Sans"/>
          <w:color w:val="000000"/>
          <w:shd w:val="clear" w:color="auto" w:fill="FFFFFF"/>
        </w:rPr>
        <w:t>t</w:t>
      </w:r>
      <w:r w:rsidRPr="008720AB">
        <w:rPr>
          <w:rFonts w:cs="Open Sans"/>
          <w:color w:val="000000"/>
          <w:shd w:val="clear" w:color="auto" w:fill="FFFFFF"/>
        </w:rPr>
        <w:t>abelas XIV.02 e XIV.03,</w:t>
      </w:r>
      <w:r w:rsidR="00A322E7" w:rsidRPr="008720AB">
        <w:rPr>
          <w:rFonts w:cs="Open Sans"/>
          <w:color w:val="000000"/>
          <w:shd w:val="clear" w:color="auto" w:fill="FFFFFF"/>
        </w:rPr>
        <w:t xml:space="preserve"> com o percentual de RPPS por grupo e unidade da federação.</w:t>
      </w:r>
    </w:p>
    <w:p w14:paraId="36056221" w14:textId="1D2E41DF" w:rsidR="00983C51" w:rsidRPr="00C17465" w:rsidRDefault="00983C51" w:rsidP="00983C5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3" w:name="_Toc525894864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lastRenderedPageBreak/>
        <w:t xml:space="preserve">Gráfico XIV.01 </w:t>
      </w:r>
      <w:r w:rsidR="00770D1A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-</w:t>
      </w:r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Percentual de Entes com Regime Próprio por Grupo</w:t>
      </w:r>
      <w:bookmarkEnd w:id="3"/>
    </w:p>
    <w:p w14:paraId="5B204B57" w14:textId="4F8A37FE" w:rsidR="00201594" w:rsidRPr="008720AB" w:rsidRDefault="008020E0" w:rsidP="00F66989">
      <w:pPr>
        <w:spacing w:after="60"/>
        <w:jc w:val="center"/>
        <w:rPr>
          <w:rFonts w:cs="Open Sans"/>
          <w:color w:val="000000"/>
          <w:sz w:val="16"/>
          <w:szCs w:val="16"/>
          <w:shd w:val="clear" w:color="auto" w:fill="FFFFFF"/>
        </w:rPr>
      </w:pPr>
      <w:r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1570126C" wp14:editId="71ED9A60">
            <wp:extent cx="5364736" cy="3705789"/>
            <wp:effectExtent l="0" t="0" r="762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77" cy="37078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F7296B" w14:textId="77777777" w:rsidR="00F66989" w:rsidRPr="008720AB" w:rsidRDefault="00F66989" w:rsidP="00F66989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6A4E02" w:rsidRPr="008720AB">
        <w:rPr>
          <w:rFonts w:cs="Open Sans"/>
          <w:color w:val="000000"/>
          <w:sz w:val="16"/>
          <w:szCs w:val="16"/>
          <w:shd w:val="clear" w:color="auto" w:fill="FFFFFF"/>
        </w:rPr>
        <w:t>posição em dezembro/2017, conforme base de dados extraída em 30/04/2018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)</w:t>
      </w:r>
    </w:p>
    <w:p w14:paraId="14FFC85F" w14:textId="60F323F8" w:rsidR="00A3192C" w:rsidRPr="00983C51" w:rsidRDefault="00A3192C" w:rsidP="00A3192C">
      <w:pPr>
        <w:pStyle w:val="Ttulo2"/>
        <w:spacing w:before="240" w:after="60"/>
        <w:rPr>
          <w:rFonts w:asciiTheme="minorHAnsi" w:hAnsiTheme="minorHAnsi"/>
          <w:sz w:val="20"/>
          <w:szCs w:val="20"/>
          <w:shd w:val="clear" w:color="auto" w:fill="FFFFFF"/>
        </w:rPr>
      </w:pPr>
      <w:bookmarkStart w:id="4" w:name="_Toc525894865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Gráfico XIV.02 </w:t>
      </w:r>
      <w:r w:rsidR="00770D1A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-</w:t>
      </w:r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Percentual de Entes com Regime Próprio por UF</w:t>
      </w:r>
      <w:bookmarkEnd w:id="4"/>
    </w:p>
    <w:p w14:paraId="08EF3A38" w14:textId="6E42EFEA" w:rsidR="00201594" w:rsidRPr="008720AB" w:rsidRDefault="00A3192C" w:rsidP="00F66989">
      <w:pPr>
        <w:spacing w:after="60"/>
        <w:jc w:val="center"/>
        <w:rPr>
          <w:rFonts w:cs="Open Sans"/>
          <w:color w:val="000000"/>
          <w:shd w:val="clear" w:color="auto" w:fill="FFFFFF"/>
        </w:rPr>
      </w:pPr>
      <w:r>
        <w:rPr>
          <w:rFonts w:cs="Open Sans"/>
          <w:noProof/>
          <w:color w:val="000000"/>
          <w:shd w:val="clear" w:color="auto" w:fill="FFFFFF"/>
          <w:lang w:eastAsia="pt-BR"/>
        </w:rPr>
        <w:drawing>
          <wp:inline distT="0" distB="0" distL="0" distR="0" wp14:anchorId="1CC3BFC9" wp14:editId="48427A08">
            <wp:extent cx="5255879" cy="3630593"/>
            <wp:effectExtent l="0" t="0" r="0" b="825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015" cy="36355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99262F" w14:textId="77777777" w:rsidR="00F66989" w:rsidRPr="008720AB" w:rsidRDefault="00F66989" w:rsidP="00F66989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6A4E02" w:rsidRPr="008720AB">
        <w:rPr>
          <w:rFonts w:cs="Open Sans"/>
          <w:color w:val="000000"/>
          <w:sz w:val="16"/>
          <w:szCs w:val="16"/>
          <w:shd w:val="clear" w:color="auto" w:fill="FFFFFF"/>
        </w:rPr>
        <w:t>posição em dezembro/2017, conforme base de dados extraída em 30/04/2018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)</w:t>
      </w:r>
    </w:p>
    <w:p w14:paraId="2E9E0FBE" w14:textId="2FCDDD8E" w:rsidR="009A4E25" w:rsidRPr="009A4E25" w:rsidRDefault="009A4E25" w:rsidP="009A4E25">
      <w:pPr>
        <w:spacing w:before="36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9A4E25">
        <w:rPr>
          <w:rFonts w:cs="Open Sans"/>
          <w:color w:val="000000"/>
          <w:shd w:val="clear" w:color="auto" w:fill="FFFFFF"/>
        </w:rPr>
        <w:lastRenderedPageBreak/>
        <w:t>A</w:t>
      </w:r>
      <w:r w:rsidR="00D94C02">
        <w:rPr>
          <w:rFonts w:cs="Open Sans"/>
          <w:color w:val="000000"/>
          <w:shd w:val="clear" w:color="auto" w:fill="FFFFFF"/>
        </w:rPr>
        <w:t>s</w:t>
      </w:r>
      <w:r w:rsidRPr="009A4E25">
        <w:rPr>
          <w:rFonts w:cs="Open Sans"/>
          <w:color w:val="000000"/>
          <w:shd w:val="clear" w:color="auto" w:fill="FFFFFF"/>
        </w:rPr>
        <w:t xml:space="preserve"> </w:t>
      </w:r>
      <w:r>
        <w:rPr>
          <w:rFonts w:cs="Open Sans"/>
          <w:color w:val="000000"/>
          <w:shd w:val="clear" w:color="auto" w:fill="FFFFFF"/>
        </w:rPr>
        <w:t>tabelas</w:t>
      </w:r>
      <w:r w:rsidRPr="009A4E25">
        <w:rPr>
          <w:rFonts w:cs="Open Sans"/>
          <w:color w:val="000000"/>
          <w:shd w:val="clear" w:color="auto" w:fill="FFFFFF"/>
        </w:rPr>
        <w:t xml:space="preserve"> </w:t>
      </w:r>
      <w:r>
        <w:rPr>
          <w:rFonts w:cs="Open Sans"/>
          <w:color w:val="000000"/>
          <w:shd w:val="clear" w:color="auto" w:fill="FFFFFF"/>
        </w:rPr>
        <w:t xml:space="preserve">XIV.04 </w:t>
      </w:r>
      <w:r w:rsidR="00D32730">
        <w:rPr>
          <w:rFonts w:cs="Open Sans"/>
          <w:color w:val="000000"/>
          <w:shd w:val="clear" w:color="auto" w:fill="FFFFFF"/>
        </w:rPr>
        <w:t xml:space="preserve">(região) </w:t>
      </w:r>
      <w:r>
        <w:rPr>
          <w:rFonts w:cs="Open Sans"/>
          <w:color w:val="000000"/>
          <w:shd w:val="clear" w:color="auto" w:fill="FFFFFF"/>
        </w:rPr>
        <w:t>e XIV.05</w:t>
      </w:r>
      <w:r w:rsidR="00D32730">
        <w:rPr>
          <w:rFonts w:cs="Open Sans"/>
          <w:color w:val="000000"/>
          <w:shd w:val="clear" w:color="auto" w:fill="FFFFFF"/>
        </w:rPr>
        <w:t xml:space="preserve"> (grupo)</w:t>
      </w:r>
      <w:r>
        <w:rPr>
          <w:rFonts w:cs="Open Sans"/>
          <w:color w:val="000000"/>
          <w:shd w:val="clear" w:color="auto" w:fill="FFFFFF"/>
        </w:rPr>
        <w:t xml:space="preserve"> </w:t>
      </w:r>
      <w:r w:rsidRPr="009A4E25">
        <w:rPr>
          <w:rFonts w:cs="Open Sans"/>
          <w:color w:val="000000"/>
          <w:shd w:val="clear" w:color="auto" w:fill="FFFFFF"/>
        </w:rPr>
        <w:t>apresenta</w:t>
      </w:r>
      <w:r>
        <w:rPr>
          <w:rFonts w:cs="Open Sans"/>
          <w:color w:val="000000"/>
          <w:shd w:val="clear" w:color="auto" w:fill="FFFFFF"/>
        </w:rPr>
        <w:t>m</w:t>
      </w:r>
      <w:r w:rsidRPr="009A4E25">
        <w:rPr>
          <w:rFonts w:cs="Open Sans"/>
          <w:color w:val="000000"/>
          <w:shd w:val="clear" w:color="auto" w:fill="FFFFFF"/>
        </w:rPr>
        <w:t xml:space="preserve"> a distribuição dos RPPS conforme a sua natureza jurídica informada no último </w:t>
      </w:r>
      <w:r w:rsidR="009A7065">
        <w:rPr>
          <w:rFonts w:cs="Open Sans"/>
          <w:color w:val="000000"/>
          <w:shd w:val="clear" w:color="auto" w:fill="FFFFFF"/>
        </w:rPr>
        <w:t>Demonstrativo de Resultado da Avaliação Atuarial (</w:t>
      </w:r>
      <w:r w:rsidRPr="009A4E25">
        <w:rPr>
          <w:rFonts w:cs="Open Sans"/>
          <w:color w:val="000000"/>
          <w:shd w:val="clear" w:color="auto" w:fill="FFFFFF"/>
        </w:rPr>
        <w:t>DRAA</w:t>
      </w:r>
      <w:r w:rsidR="009A7065">
        <w:rPr>
          <w:rFonts w:cs="Open Sans"/>
          <w:color w:val="000000"/>
          <w:shd w:val="clear" w:color="auto" w:fill="FFFFFF"/>
        </w:rPr>
        <w:t>)</w:t>
      </w:r>
      <w:r w:rsidRPr="009A4E25">
        <w:rPr>
          <w:rFonts w:cs="Open Sans"/>
          <w:color w:val="000000"/>
          <w:shd w:val="clear" w:color="auto" w:fill="FFFFFF"/>
        </w:rPr>
        <w:t>,</w:t>
      </w:r>
      <w:r w:rsidR="00AF0012">
        <w:rPr>
          <w:rFonts w:cs="Open Sans"/>
          <w:color w:val="000000"/>
          <w:shd w:val="clear" w:color="auto" w:fill="FFFFFF"/>
        </w:rPr>
        <w:t xml:space="preserve"> encaminhado pelo ente federativo por meio do Sistema de Informações dos Regimes Públicos de Previdência Social (CADPREV),</w:t>
      </w:r>
      <w:r w:rsidRPr="009A4E25">
        <w:rPr>
          <w:rFonts w:cs="Open Sans"/>
          <w:color w:val="000000"/>
          <w:shd w:val="clear" w:color="auto" w:fill="FFFFFF"/>
        </w:rPr>
        <w:t xml:space="preserve"> por Região e por Grupo.</w:t>
      </w:r>
      <w:r w:rsidR="009A7065">
        <w:rPr>
          <w:rFonts w:cs="Open Sans"/>
          <w:color w:val="000000"/>
          <w:shd w:val="clear" w:color="auto" w:fill="FFFFFF"/>
        </w:rPr>
        <w:t xml:space="preserve"> </w:t>
      </w:r>
      <w:r w:rsidR="009A7065" w:rsidRPr="009A7065">
        <w:rPr>
          <w:rFonts w:cs="Open Sans"/>
          <w:color w:val="000000"/>
          <w:shd w:val="clear" w:color="auto" w:fill="FFFFFF"/>
        </w:rPr>
        <w:t>Observa-se que a</w:t>
      </w:r>
      <w:r w:rsidR="009A7065">
        <w:rPr>
          <w:rFonts w:cs="Open Sans"/>
          <w:color w:val="000000"/>
          <w:shd w:val="clear" w:color="auto" w:fill="FFFFFF"/>
        </w:rPr>
        <w:t xml:space="preserve"> maior parte das unidades gestoras dos RPPS são estruturadas como autarquias.</w:t>
      </w:r>
      <w:r w:rsidR="008074E5">
        <w:rPr>
          <w:rStyle w:val="Refdenotaderodap"/>
          <w:rFonts w:cs="Open Sans"/>
          <w:color w:val="000000"/>
          <w:shd w:val="clear" w:color="auto" w:fill="FFFFFF"/>
        </w:rPr>
        <w:footnoteReference w:id="2"/>
      </w:r>
    </w:p>
    <w:p w14:paraId="4DCFEB01" w14:textId="5F0C9431" w:rsidR="00A75276" w:rsidRPr="00C17465" w:rsidRDefault="00A75276" w:rsidP="00A75276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5" w:name="_Toc525894866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XIV.04 - Natureza Jurídica dos RPPS por Região</w:t>
      </w:r>
      <w:bookmarkEnd w:id="5"/>
    </w:p>
    <w:p w14:paraId="57E53CDF" w14:textId="56344626" w:rsidR="00641F1F" w:rsidRDefault="00582F13" w:rsidP="00A75276">
      <w:pPr>
        <w:spacing w:after="60"/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</w:pPr>
      <w:r w:rsidRPr="00582F13">
        <w:rPr>
          <w:noProof/>
          <w:lang w:eastAsia="pt-BR"/>
        </w:rPr>
        <w:drawing>
          <wp:inline distT="0" distB="0" distL="0" distR="0" wp14:anchorId="51C74ECC" wp14:editId="42EB0EC6">
            <wp:extent cx="5238750" cy="1155700"/>
            <wp:effectExtent l="0" t="0" r="0" b="635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90504" w14:textId="77777777" w:rsidR="00A75276" w:rsidRPr="008720AB" w:rsidRDefault="00A75276" w:rsidP="00A75276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(posição em dezembro/2017, conforme base de dados extraída em 30/04/2018)</w:t>
      </w:r>
    </w:p>
    <w:p w14:paraId="34FBA52A" w14:textId="77777777" w:rsidR="00A75276" w:rsidRPr="00C17465" w:rsidRDefault="00A75276" w:rsidP="00A75276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6" w:name="_Toc525894867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XIV.05 - Natureza Jurídica dos RPPS por Grupo</w:t>
      </w:r>
      <w:bookmarkEnd w:id="6"/>
    </w:p>
    <w:p w14:paraId="34FC12CD" w14:textId="13A24DF6" w:rsidR="00A75276" w:rsidRDefault="00A71578" w:rsidP="00A75276">
      <w:pPr>
        <w:spacing w:after="60"/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</w:pPr>
      <w:r w:rsidRPr="009A4E25"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4FA6E8AD" wp14:editId="7FDCBF71">
            <wp:extent cx="5240020" cy="1438910"/>
            <wp:effectExtent l="0" t="0" r="0" b="889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143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A1FF2" w14:textId="77777777" w:rsidR="00A75276" w:rsidRPr="008720AB" w:rsidRDefault="00A75276" w:rsidP="00A75276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(posição em dezembro/2017, conforme base de dados extraída em 30/04/2018)</w:t>
      </w:r>
    </w:p>
    <w:p w14:paraId="4976C379" w14:textId="489842A1" w:rsidR="009A4E25" w:rsidRPr="009A4E25" w:rsidRDefault="009A4E25" w:rsidP="009A4E25">
      <w:pPr>
        <w:spacing w:before="36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9A4E25">
        <w:rPr>
          <w:rFonts w:cs="Open Sans"/>
          <w:color w:val="000000"/>
          <w:shd w:val="clear" w:color="auto" w:fill="FFFFFF"/>
        </w:rPr>
        <w:t>A</w:t>
      </w:r>
      <w:r w:rsidR="000E48BC">
        <w:rPr>
          <w:rFonts w:cs="Open Sans"/>
          <w:color w:val="000000"/>
          <w:shd w:val="clear" w:color="auto" w:fill="FFFFFF"/>
        </w:rPr>
        <w:t>s</w:t>
      </w:r>
      <w:r w:rsidRPr="009A4E25">
        <w:rPr>
          <w:rFonts w:cs="Open Sans"/>
          <w:color w:val="000000"/>
          <w:shd w:val="clear" w:color="auto" w:fill="FFFFFF"/>
        </w:rPr>
        <w:t xml:space="preserve"> </w:t>
      </w:r>
      <w:r>
        <w:rPr>
          <w:rFonts w:cs="Open Sans"/>
          <w:color w:val="000000"/>
          <w:shd w:val="clear" w:color="auto" w:fill="FFFFFF"/>
        </w:rPr>
        <w:t>tabelas</w:t>
      </w:r>
      <w:r w:rsidRPr="009A4E25">
        <w:rPr>
          <w:rFonts w:cs="Open Sans"/>
          <w:color w:val="000000"/>
          <w:shd w:val="clear" w:color="auto" w:fill="FFFFFF"/>
        </w:rPr>
        <w:t xml:space="preserve"> </w:t>
      </w:r>
      <w:r>
        <w:rPr>
          <w:rFonts w:cs="Open Sans"/>
          <w:color w:val="000000"/>
          <w:shd w:val="clear" w:color="auto" w:fill="FFFFFF"/>
        </w:rPr>
        <w:t xml:space="preserve">XIV.06 e XIV.07 </w:t>
      </w:r>
      <w:r w:rsidRPr="009A4E25">
        <w:rPr>
          <w:rFonts w:cs="Open Sans"/>
          <w:color w:val="000000"/>
          <w:shd w:val="clear" w:color="auto" w:fill="FFFFFF"/>
        </w:rPr>
        <w:t>apresenta</w:t>
      </w:r>
      <w:r>
        <w:rPr>
          <w:rFonts w:cs="Open Sans"/>
          <w:color w:val="000000"/>
          <w:shd w:val="clear" w:color="auto" w:fill="FFFFFF"/>
        </w:rPr>
        <w:t>m</w:t>
      </w:r>
      <w:r w:rsidRPr="009A4E25">
        <w:rPr>
          <w:rFonts w:cs="Open Sans"/>
          <w:color w:val="000000"/>
          <w:shd w:val="clear" w:color="auto" w:fill="FFFFFF"/>
        </w:rPr>
        <w:t xml:space="preserve"> o número de conselheiros do órgão colegiado de deliberação dos RPPS, por Região e por Grupo. Observa-se que apenas 31% dos conselhos são paritários</w:t>
      </w:r>
      <w:r w:rsidR="000E48BC">
        <w:rPr>
          <w:rFonts w:cs="Open Sans"/>
          <w:color w:val="000000"/>
          <w:shd w:val="clear" w:color="auto" w:fill="FFFFFF"/>
        </w:rPr>
        <w:t xml:space="preserve"> (</w:t>
      </w:r>
      <w:r>
        <w:rPr>
          <w:rFonts w:cs="Open Sans"/>
          <w:color w:val="000000"/>
          <w:shd w:val="clear" w:color="auto" w:fill="FFFFFF"/>
        </w:rPr>
        <w:t xml:space="preserve">ou seja, a quantidade de conselheiros representantes do </w:t>
      </w:r>
      <w:r w:rsidR="000E48BC">
        <w:rPr>
          <w:rFonts w:cs="Open Sans"/>
          <w:color w:val="000000"/>
          <w:shd w:val="clear" w:color="auto" w:fill="FFFFFF"/>
        </w:rPr>
        <w:t>e</w:t>
      </w:r>
      <w:r>
        <w:rPr>
          <w:rFonts w:cs="Open Sans"/>
          <w:color w:val="000000"/>
          <w:shd w:val="clear" w:color="auto" w:fill="FFFFFF"/>
        </w:rPr>
        <w:t>nte é igual quantidade de conselheiros representantes dos segurados</w:t>
      </w:r>
      <w:r w:rsidR="000E48BC">
        <w:rPr>
          <w:rFonts w:cs="Open Sans"/>
          <w:color w:val="000000"/>
          <w:shd w:val="clear" w:color="auto" w:fill="FFFFFF"/>
        </w:rPr>
        <w:t>)</w:t>
      </w:r>
      <w:r>
        <w:rPr>
          <w:rFonts w:cs="Open Sans"/>
          <w:color w:val="000000"/>
          <w:shd w:val="clear" w:color="auto" w:fill="FFFFFF"/>
        </w:rPr>
        <w:t>,</w:t>
      </w:r>
      <w:r w:rsidRPr="009A4E25">
        <w:rPr>
          <w:rFonts w:cs="Open Sans"/>
          <w:color w:val="000000"/>
          <w:shd w:val="clear" w:color="auto" w:fill="FFFFFF"/>
        </w:rPr>
        <w:t xml:space="preserve"> e que 82% dos conselhos possuem menos de 10 representantes.</w:t>
      </w:r>
      <w:r w:rsidR="00901FAC">
        <w:rPr>
          <w:rFonts w:cs="Open Sans"/>
          <w:color w:val="000000"/>
          <w:shd w:val="clear" w:color="auto" w:fill="FFFFFF"/>
        </w:rPr>
        <w:t xml:space="preserve"> </w:t>
      </w:r>
      <w:r w:rsidR="000E48BC">
        <w:rPr>
          <w:rFonts w:cs="Open Sans"/>
          <w:color w:val="000000"/>
          <w:shd w:val="clear" w:color="auto" w:fill="FFFFFF"/>
        </w:rPr>
        <w:t>A</w:t>
      </w:r>
      <w:r w:rsidR="00901FAC">
        <w:rPr>
          <w:rFonts w:cs="Open Sans"/>
          <w:color w:val="000000"/>
          <w:shd w:val="clear" w:color="auto" w:fill="FFFFFF"/>
        </w:rPr>
        <w:t xml:space="preserve"> coluna “</w:t>
      </w:r>
      <w:r w:rsidR="000E48BC">
        <w:rPr>
          <w:rFonts w:cs="Open Sans"/>
          <w:color w:val="000000"/>
          <w:shd w:val="clear" w:color="auto" w:fill="FFFFFF"/>
        </w:rPr>
        <w:t xml:space="preserve">Conselho Não Paritário - Segurados com Baixa Representação” </w:t>
      </w:r>
      <w:r w:rsidR="000A0F34">
        <w:rPr>
          <w:rFonts w:cs="Open Sans"/>
          <w:color w:val="000000"/>
          <w:shd w:val="clear" w:color="auto" w:fill="FFFFFF"/>
        </w:rPr>
        <w:t>indica os casos em que a representação do ente federativo no conselho é superior ao dobro da representação dos segurados</w:t>
      </w:r>
      <w:r w:rsidR="00901FAC">
        <w:rPr>
          <w:rFonts w:cs="Open Sans"/>
          <w:color w:val="000000"/>
          <w:shd w:val="clear" w:color="auto" w:fill="FFFFFF"/>
        </w:rPr>
        <w:t>.</w:t>
      </w:r>
    </w:p>
    <w:p w14:paraId="14279C92" w14:textId="06F5296F" w:rsidR="00A71578" w:rsidRPr="00C17465" w:rsidRDefault="00A71578" w:rsidP="00A71578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7" w:name="_Toc525894868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XIV.06 - Número de Conselheiros dos RPPS por Região</w:t>
      </w:r>
      <w:bookmarkEnd w:id="7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</w:t>
      </w:r>
    </w:p>
    <w:p w14:paraId="3DF2C83C" w14:textId="4F4153FC" w:rsidR="00641F1F" w:rsidRDefault="00582F13" w:rsidP="00A71578">
      <w:pPr>
        <w:spacing w:after="60"/>
      </w:pPr>
      <w:r w:rsidRPr="00582F13">
        <w:rPr>
          <w:noProof/>
          <w:lang w:eastAsia="pt-BR"/>
        </w:rPr>
        <w:drawing>
          <wp:inline distT="0" distB="0" distL="0" distR="0" wp14:anchorId="450487A5" wp14:editId="723408A0">
            <wp:extent cx="6120000" cy="124200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2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2F13" w:rsidDel="00582F13">
        <w:t xml:space="preserve"> </w:t>
      </w:r>
    </w:p>
    <w:p w14:paraId="2C97BD9A" w14:textId="77777777" w:rsidR="008E52DC" w:rsidRPr="008720AB" w:rsidRDefault="008E52DC" w:rsidP="008E52DC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(posição em dezembro/2017, conforme base de dados extraída em 30/04/2018)</w:t>
      </w:r>
    </w:p>
    <w:p w14:paraId="32951347" w14:textId="6F93E6C6" w:rsidR="008E52DC" w:rsidRPr="00C17465" w:rsidRDefault="008E52DC" w:rsidP="008E52DC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8" w:name="_Toc525894869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lastRenderedPageBreak/>
        <w:t>Tabela XIV.07 - Número de Conselheiros dos RPPS por Grupo</w:t>
      </w:r>
      <w:bookmarkEnd w:id="8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</w:t>
      </w:r>
    </w:p>
    <w:p w14:paraId="30450BE7" w14:textId="0A1F9217" w:rsidR="00A71578" w:rsidRDefault="00582F13" w:rsidP="00A71578">
      <w:pPr>
        <w:spacing w:after="60"/>
      </w:pPr>
      <w:r w:rsidRPr="00582F13" w:rsidDel="00582F13">
        <w:t xml:space="preserve"> </w:t>
      </w:r>
      <w:r w:rsidRPr="00582F13">
        <w:rPr>
          <w:noProof/>
          <w:lang w:eastAsia="pt-BR"/>
        </w:rPr>
        <w:drawing>
          <wp:inline distT="0" distB="0" distL="0" distR="0" wp14:anchorId="130C12EC" wp14:editId="4FAEC132">
            <wp:extent cx="6120000" cy="1465200"/>
            <wp:effectExtent l="0" t="0" r="0" b="190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000" cy="14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2F13" w:rsidDel="00582F13">
        <w:t xml:space="preserve"> </w:t>
      </w:r>
    </w:p>
    <w:p w14:paraId="56ED6764" w14:textId="77777777" w:rsidR="008E52DC" w:rsidRPr="008720AB" w:rsidRDefault="008E52DC" w:rsidP="008E52DC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(posição em dezembro/2017, conforme base de dados extraída em 30/04/2018)</w:t>
      </w:r>
    </w:p>
    <w:p w14:paraId="7A5AC53B" w14:textId="288E3D59" w:rsidR="00A322E7" w:rsidRPr="008720AB" w:rsidRDefault="00A322E7" w:rsidP="008E52DC">
      <w:pPr>
        <w:spacing w:before="36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 xml:space="preserve">Os </w:t>
      </w:r>
      <w:r w:rsidR="00E06DA6" w:rsidRPr="008720AB">
        <w:rPr>
          <w:rFonts w:cs="Open Sans"/>
          <w:color w:val="000000"/>
          <w:shd w:val="clear" w:color="auto" w:fill="FFFFFF"/>
        </w:rPr>
        <w:t>g</w:t>
      </w:r>
      <w:r w:rsidRPr="008720AB">
        <w:rPr>
          <w:rFonts w:cs="Open Sans"/>
          <w:color w:val="000000"/>
          <w:shd w:val="clear" w:color="auto" w:fill="FFFFFF"/>
        </w:rPr>
        <w:t xml:space="preserve">ráficos XIV.03, XIV.04 e XIV.05, em seguida, </w:t>
      </w:r>
      <w:r w:rsidR="00E06DA6" w:rsidRPr="008720AB">
        <w:rPr>
          <w:rFonts w:cs="Open Sans"/>
          <w:color w:val="000000"/>
          <w:shd w:val="clear" w:color="auto" w:fill="FFFFFF"/>
        </w:rPr>
        <w:t xml:space="preserve">foram construídos com base nas informações da tabela </w:t>
      </w:r>
      <w:r w:rsidR="00424F1A">
        <w:rPr>
          <w:rFonts w:cs="Open Sans"/>
          <w:color w:val="000000"/>
          <w:shd w:val="clear" w:color="auto" w:fill="FFFFFF"/>
        </w:rPr>
        <w:t>1</w:t>
      </w:r>
      <w:r w:rsidR="00E06DA6" w:rsidRPr="008720AB">
        <w:rPr>
          <w:rFonts w:cs="Open Sans"/>
          <w:color w:val="000000"/>
          <w:shd w:val="clear" w:color="auto" w:fill="FFFFFF"/>
        </w:rPr>
        <w:t>.1</w:t>
      </w:r>
      <w:r w:rsidR="00424F1A">
        <w:rPr>
          <w:rFonts w:cs="Open Sans"/>
          <w:color w:val="000000"/>
          <w:shd w:val="clear" w:color="auto" w:fill="FFFFFF"/>
        </w:rPr>
        <w:t xml:space="preserve"> do Suplemento</w:t>
      </w:r>
      <w:r w:rsidR="00E06DA6" w:rsidRPr="008720AB">
        <w:rPr>
          <w:rFonts w:cs="Open Sans"/>
          <w:color w:val="000000"/>
          <w:shd w:val="clear" w:color="auto" w:fill="FFFFFF"/>
        </w:rPr>
        <w:t xml:space="preserve"> (Alíquotas de Contribuição dos RPPS dos Estados, Distrito Federal e Municípios</w:t>
      </w:r>
      <w:r w:rsidR="000F5B27" w:rsidRPr="008720AB">
        <w:rPr>
          <w:rFonts w:cs="Open Sans"/>
          <w:color w:val="000000"/>
          <w:shd w:val="clear" w:color="auto" w:fill="FFFFFF"/>
        </w:rPr>
        <w:t>).</w:t>
      </w:r>
    </w:p>
    <w:p w14:paraId="074D5D07" w14:textId="072352C5" w:rsidR="007831E3" w:rsidRDefault="007831E3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No gráfico XIV.03 observa-se que na quase totalidade dos RPPS (cerca de 97%) a alíquota de contribuição praticada pelo ente federativo para o custeio normal situa-se dentro dos limites de 11% a 22%.</w:t>
      </w:r>
    </w:p>
    <w:p w14:paraId="5614B6FB" w14:textId="239FA503" w:rsidR="00A3192C" w:rsidRPr="007466E1" w:rsidRDefault="00A3192C" w:rsidP="007466E1">
      <w:pPr>
        <w:pStyle w:val="Ttulo2"/>
        <w:spacing w:before="240" w:after="60"/>
        <w:rPr>
          <w:rFonts w:asciiTheme="minorHAnsi" w:hAnsiTheme="minorHAnsi"/>
          <w:sz w:val="20"/>
          <w:szCs w:val="20"/>
          <w:shd w:val="clear" w:color="auto" w:fill="FFFFFF"/>
        </w:rPr>
      </w:pPr>
      <w:bookmarkStart w:id="9" w:name="_Toc525894870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Gráfico XIV.03 - Quantidade de RPPS por Faixa de Alíquotas de Contribuição dos Entes</w:t>
      </w:r>
      <w:bookmarkEnd w:id="9"/>
    </w:p>
    <w:p w14:paraId="3DF67AEF" w14:textId="6DCADB69" w:rsidR="008838D3" w:rsidRPr="008720AB" w:rsidRDefault="007466E1" w:rsidP="00F66989">
      <w:pPr>
        <w:spacing w:after="60"/>
        <w:jc w:val="center"/>
        <w:rPr>
          <w:rFonts w:cs="Open Sans"/>
          <w:color w:val="000000"/>
          <w:sz w:val="16"/>
          <w:szCs w:val="16"/>
          <w:shd w:val="clear" w:color="auto" w:fill="FFFFFF"/>
        </w:rPr>
      </w:pPr>
      <w:r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09B279C1" wp14:editId="3950583A">
            <wp:extent cx="5400000" cy="37368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73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D6EECD" w14:textId="77777777" w:rsidR="00F66989" w:rsidRPr="008720AB" w:rsidRDefault="00F66989" w:rsidP="00F66989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6A4E02" w:rsidRPr="008720AB">
        <w:rPr>
          <w:rFonts w:cs="Open Sans"/>
          <w:color w:val="000000"/>
          <w:sz w:val="16"/>
          <w:szCs w:val="16"/>
          <w:shd w:val="clear" w:color="auto" w:fill="FFFFFF"/>
        </w:rPr>
        <w:t>posição em dezembro/2017, conforme base de dados extraída em 30/04/2018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)</w:t>
      </w:r>
    </w:p>
    <w:p w14:paraId="57940F5B" w14:textId="1440F11C" w:rsidR="008838D3" w:rsidRPr="008720AB" w:rsidRDefault="007831E3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O gráfico XIV.04 mostra a distribuição das alíquotas d</w:t>
      </w:r>
      <w:r w:rsidR="00E81FD4" w:rsidRPr="008720AB">
        <w:rPr>
          <w:rFonts w:cs="Open Sans"/>
          <w:color w:val="000000"/>
          <w:shd w:val="clear" w:color="auto" w:fill="FFFFFF"/>
        </w:rPr>
        <w:t xml:space="preserve">o ente federativo </w:t>
      </w:r>
      <w:r w:rsidR="009A7065">
        <w:rPr>
          <w:rFonts w:cs="Open Sans"/>
          <w:color w:val="000000"/>
          <w:shd w:val="clear" w:color="auto" w:fill="FFFFFF"/>
        </w:rPr>
        <w:t>relativas a</w:t>
      </w:r>
      <w:r w:rsidR="00E81FD4" w:rsidRPr="008720AB">
        <w:rPr>
          <w:rFonts w:cs="Open Sans"/>
          <w:color w:val="000000"/>
          <w:shd w:val="clear" w:color="auto" w:fill="FFFFFF"/>
        </w:rPr>
        <w:t>o cust</w:t>
      </w:r>
      <w:r w:rsidR="009A7065">
        <w:rPr>
          <w:rFonts w:cs="Open Sans"/>
          <w:color w:val="000000"/>
          <w:shd w:val="clear" w:color="auto" w:fill="FFFFFF"/>
        </w:rPr>
        <w:t>ei</w:t>
      </w:r>
      <w:r w:rsidR="00E81FD4" w:rsidRPr="008720AB">
        <w:rPr>
          <w:rFonts w:cs="Open Sans"/>
          <w:color w:val="000000"/>
          <w:shd w:val="clear" w:color="auto" w:fill="FFFFFF"/>
        </w:rPr>
        <w:t xml:space="preserve">o suplementar, </w:t>
      </w:r>
      <w:r w:rsidR="006A4E02" w:rsidRPr="008720AB">
        <w:rPr>
          <w:rFonts w:cs="Open Sans"/>
          <w:color w:val="000000"/>
          <w:shd w:val="clear" w:color="auto" w:fill="FFFFFF"/>
        </w:rPr>
        <w:t>estabelecidas em planos de amortização destinados ao</w:t>
      </w:r>
      <w:r w:rsidR="00E81FD4" w:rsidRPr="008720AB">
        <w:rPr>
          <w:rFonts w:cs="Open Sans"/>
          <w:color w:val="000000"/>
          <w:shd w:val="clear" w:color="auto" w:fill="FFFFFF"/>
        </w:rPr>
        <w:t xml:space="preserve"> equacionamento do deficit atuarial</w:t>
      </w:r>
      <w:r w:rsidR="008838D3" w:rsidRPr="008720AB">
        <w:rPr>
          <w:rFonts w:cs="Open Sans"/>
          <w:color w:val="000000"/>
          <w:shd w:val="clear" w:color="auto" w:fill="FFFFFF"/>
        </w:rPr>
        <w:t>.</w:t>
      </w:r>
    </w:p>
    <w:p w14:paraId="4FB2FD59" w14:textId="77777777" w:rsidR="007466E1" w:rsidRPr="00C17465" w:rsidRDefault="007466E1" w:rsidP="007466E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10" w:name="_Toc525894871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lastRenderedPageBreak/>
        <w:t>Gráfico XIV.04 - Quantidade de RPPS por Faixa de Alíquotas de Contribuição Suplementar</w:t>
      </w:r>
      <w:bookmarkEnd w:id="10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</w:t>
      </w:r>
    </w:p>
    <w:p w14:paraId="661DEA93" w14:textId="5902B577" w:rsidR="00201594" w:rsidRPr="008720AB" w:rsidRDefault="007466E1" w:rsidP="00F66989">
      <w:pPr>
        <w:spacing w:after="60"/>
        <w:jc w:val="center"/>
        <w:rPr>
          <w:rFonts w:cs="Open Sans"/>
          <w:color w:val="000000"/>
          <w:shd w:val="clear" w:color="auto" w:fill="FFFFFF"/>
        </w:rPr>
      </w:pPr>
      <w:r>
        <w:rPr>
          <w:rFonts w:cs="Open Sans"/>
          <w:noProof/>
          <w:color w:val="000000"/>
          <w:shd w:val="clear" w:color="auto" w:fill="FFFFFF"/>
          <w:lang w:eastAsia="pt-BR"/>
        </w:rPr>
        <w:drawing>
          <wp:inline distT="0" distB="0" distL="0" distR="0" wp14:anchorId="20F8AA3A" wp14:editId="5A55824F">
            <wp:extent cx="5109363" cy="35356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223" cy="35521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BD0569" w14:textId="77777777" w:rsidR="00F66989" w:rsidRPr="008720AB" w:rsidRDefault="00F66989" w:rsidP="00F66989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6A4E02" w:rsidRPr="008720AB">
        <w:rPr>
          <w:rFonts w:cs="Open Sans"/>
          <w:color w:val="000000"/>
          <w:sz w:val="16"/>
          <w:szCs w:val="16"/>
          <w:shd w:val="clear" w:color="auto" w:fill="FFFFFF"/>
        </w:rPr>
        <w:t>posição em dezembro/2017, conforme base de dados extraída em 30/04/2018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)</w:t>
      </w:r>
    </w:p>
    <w:p w14:paraId="0285583A" w14:textId="48E438DA" w:rsidR="00C90A60" w:rsidRPr="008720AB" w:rsidRDefault="00411153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 xml:space="preserve">O gráfico XIV.05 traz a alíquota de contribuição cobrada dos segurados dos RPPS. </w:t>
      </w:r>
      <w:r w:rsidR="00C90A60" w:rsidRPr="008720AB">
        <w:rPr>
          <w:rFonts w:cs="Open Sans"/>
          <w:color w:val="000000"/>
          <w:shd w:val="clear" w:color="auto" w:fill="FFFFFF"/>
        </w:rPr>
        <w:t xml:space="preserve">Na quase totalidade (cerca de 96%) é adotada a alíquota de 11%, equivalente à atualmente devida pelos servidores da União e referencial mínimo para Estados, Distrito Federal e Municípios. Porém, observa-se que em um grupo de RPPS (cerca de 3%) são praticadas alíquotas superiores, em geral na faixa </w:t>
      </w:r>
      <w:r w:rsidR="000C148C" w:rsidRPr="008720AB">
        <w:rPr>
          <w:rFonts w:cs="Open Sans"/>
          <w:color w:val="000000"/>
          <w:shd w:val="clear" w:color="auto" w:fill="FFFFFF"/>
        </w:rPr>
        <w:t>a</w:t>
      </w:r>
      <w:r w:rsidR="00C90A60" w:rsidRPr="008720AB">
        <w:rPr>
          <w:rFonts w:cs="Open Sans"/>
          <w:color w:val="000000"/>
          <w:shd w:val="clear" w:color="auto" w:fill="FFFFFF"/>
        </w:rPr>
        <w:t>té 14%.</w:t>
      </w:r>
    </w:p>
    <w:p w14:paraId="56DD4D1D" w14:textId="77777777" w:rsidR="007466E1" w:rsidRPr="007466E1" w:rsidRDefault="007466E1" w:rsidP="007466E1">
      <w:pPr>
        <w:pStyle w:val="Ttulo2"/>
        <w:spacing w:before="240" w:after="60"/>
        <w:rPr>
          <w:rFonts w:asciiTheme="minorHAnsi" w:hAnsiTheme="minorHAnsi"/>
          <w:sz w:val="20"/>
          <w:szCs w:val="20"/>
          <w:shd w:val="clear" w:color="auto" w:fill="FFFFFF"/>
        </w:rPr>
      </w:pPr>
      <w:bookmarkStart w:id="11" w:name="_Toc525894872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Gráfico XIV.05 - Quantidade de RPPS por Faixa de Alíquotas de Contribuição dos Segurados</w:t>
      </w:r>
      <w:bookmarkEnd w:id="11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</w:t>
      </w:r>
    </w:p>
    <w:p w14:paraId="50965CB2" w14:textId="464E799B" w:rsidR="00F66989" w:rsidRPr="008720AB" w:rsidRDefault="007466E1" w:rsidP="00272B4A">
      <w:pPr>
        <w:spacing w:after="60"/>
        <w:jc w:val="center"/>
        <w:rPr>
          <w:rFonts w:cs="Open Sans"/>
          <w:color w:val="000000"/>
          <w:shd w:val="clear" w:color="auto" w:fill="FFFFFF"/>
        </w:rPr>
      </w:pPr>
      <w:r>
        <w:rPr>
          <w:rFonts w:cs="Open Sans"/>
          <w:noProof/>
          <w:color w:val="000000"/>
          <w:shd w:val="clear" w:color="auto" w:fill="FFFFFF"/>
          <w:lang w:eastAsia="pt-BR"/>
        </w:rPr>
        <w:drawing>
          <wp:inline distT="0" distB="0" distL="0" distR="0" wp14:anchorId="32ADF4DF" wp14:editId="1D74F75A">
            <wp:extent cx="4889133" cy="3383280"/>
            <wp:effectExtent l="0" t="0" r="0" b="762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33" cy="33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6EF847" w14:textId="77777777" w:rsidR="00F66989" w:rsidRPr="008720AB" w:rsidRDefault="00F66989" w:rsidP="00F66989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6A4E02" w:rsidRPr="008720AB">
        <w:rPr>
          <w:rFonts w:cs="Open Sans"/>
          <w:color w:val="000000"/>
          <w:sz w:val="16"/>
          <w:szCs w:val="16"/>
          <w:shd w:val="clear" w:color="auto" w:fill="FFFFFF"/>
        </w:rPr>
        <w:t>posição em dezembro/2017, conforme base de dados extraída em 30/04/2018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)</w:t>
      </w:r>
    </w:p>
    <w:p w14:paraId="43377D95" w14:textId="1A0E9D88" w:rsidR="00FC7245" w:rsidRPr="008720AB" w:rsidRDefault="00FC7245" w:rsidP="008F483A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lastRenderedPageBreak/>
        <w:t>A tabela XIV.0</w:t>
      </w:r>
      <w:r w:rsidR="003A344D">
        <w:rPr>
          <w:rFonts w:cs="Open Sans"/>
          <w:color w:val="000000"/>
          <w:shd w:val="clear" w:color="auto" w:fill="FFFFFF"/>
        </w:rPr>
        <w:t>8</w:t>
      </w:r>
      <w:r w:rsidRPr="008720AB">
        <w:rPr>
          <w:rFonts w:cs="Open Sans"/>
          <w:color w:val="000000"/>
          <w:shd w:val="clear" w:color="auto" w:fill="FFFFFF"/>
        </w:rPr>
        <w:t xml:space="preserve"> </w:t>
      </w:r>
      <w:r w:rsidR="00633F87" w:rsidRPr="008720AB">
        <w:rPr>
          <w:rFonts w:cs="Open Sans"/>
          <w:color w:val="000000"/>
          <w:shd w:val="clear" w:color="auto" w:fill="FFFFFF"/>
        </w:rPr>
        <w:t>mostra a evolução do quantitativo total de segurados dos RPPS (servidores ativos, aposentados e pensionistas), no período de 2007 a 2017, distribuídos entre Estados/D</w:t>
      </w:r>
      <w:r w:rsidR="001F7963" w:rsidRPr="008720AB">
        <w:rPr>
          <w:rFonts w:cs="Open Sans"/>
          <w:color w:val="000000"/>
          <w:shd w:val="clear" w:color="auto" w:fill="FFFFFF"/>
        </w:rPr>
        <w:t>istrito Federal, Capitais e Demais Municípios</w:t>
      </w:r>
      <w:r w:rsidRPr="008720AB">
        <w:rPr>
          <w:rFonts w:cs="Open Sans"/>
          <w:color w:val="000000"/>
          <w:shd w:val="clear" w:color="auto" w:fill="FFFFFF"/>
        </w:rPr>
        <w:t>.</w:t>
      </w:r>
      <w:r w:rsidR="008F483A">
        <w:rPr>
          <w:rFonts w:cs="Open Sans"/>
          <w:color w:val="000000"/>
          <w:shd w:val="clear" w:color="auto" w:fill="FFFFFF"/>
        </w:rPr>
        <w:t xml:space="preserve"> Em seguida, o</w:t>
      </w:r>
      <w:r w:rsidR="008F483A" w:rsidRPr="008E52DC">
        <w:rPr>
          <w:rFonts w:cs="Open Sans"/>
          <w:color w:val="000000"/>
          <w:shd w:val="clear" w:color="auto" w:fill="FFFFFF"/>
        </w:rPr>
        <w:t xml:space="preserve"> gráfico XIV.06 traz </w:t>
      </w:r>
      <w:r w:rsidR="008F483A">
        <w:rPr>
          <w:rFonts w:cs="Open Sans"/>
          <w:color w:val="000000"/>
          <w:shd w:val="clear" w:color="auto" w:fill="FFFFFF"/>
        </w:rPr>
        <w:t>a</w:t>
      </w:r>
      <w:r w:rsidR="008F483A" w:rsidRPr="008E52DC">
        <w:rPr>
          <w:rFonts w:cs="Open Sans"/>
          <w:color w:val="000000"/>
          <w:shd w:val="clear" w:color="auto" w:fill="FFFFFF"/>
        </w:rPr>
        <w:t xml:space="preserve"> representação visual</w:t>
      </w:r>
      <w:r w:rsidR="00D70F5C">
        <w:rPr>
          <w:rFonts w:cs="Open Sans"/>
          <w:color w:val="000000"/>
          <w:shd w:val="clear" w:color="auto" w:fill="FFFFFF"/>
        </w:rPr>
        <w:t xml:space="preserve"> dessa evolução</w:t>
      </w:r>
      <w:r w:rsidR="008F483A">
        <w:rPr>
          <w:rFonts w:cs="Open Sans"/>
          <w:color w:val="000000"/>
          <w:shd w:val="clear" w:color="auto" w:fill="FFFFFF"/>
        </w:rPr>
        <w:t>.</w:t>
      </w:r>
    </w:p>
    <w:p w14:paraId="42D9830A" w14:textId="21BF927D" w:rsidR="00FC7245" w:rsidRPr="008720AB" w:rsidRDefault="00FC7245" w:rsidP="00FC7245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Tabela XIV.0</w:t>
      </w:r>
      <w:r w:rsidR="008E52DC"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8</w:t>
      </w: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 - Quantidade de segurados dos RPPS de Estados, Distrito Federal e Municípios (Evolução 2007 a 2017)</w:t>
      </w:r>
      <w:r w:rsidRPr="00C17465">
        <w:rPr>
          <w:rFonts w:eastAsiaTheme="majorEastAsia" w:cstheme="majorBidi"/>
          <w:b/>
          <w:bCs/>
          <w:sz w:val="20"/>
          <w:szCs w:val="20"/>
          <w:vertAlign w:val="superscript"/>
        </w:rPr>
        <w:footnoteReference w:id="3"/>
      </w:r>
      <w:r w:rsidR="00582F13" w:rsidRPr="00C17465" w:rsidDel="00582F13">
        <w:rPr>
          <w:rFonts w:cs="Open Sans"/>
          <w:noProof/>
          <w:sz w:val="16"/>
          <w:szCs w:val="16"/>
          <w:shd w:val="clear" w:color="auto" w:fill="FFFFFF"/>
          <w:lang w:eastAsia="pt-BR"/>
        </w:rPr>
        <w:t xml:space="preserve"> </w:t>
      </w:r>
      <w:r w:rsidR="00582F13" w:rsidRPr="00582F13">
        <w:rPr>
          <w:noProof/>
          <w:lang w:eastAsia="pt-BR"/>
        </w:rPr>
        <w:drawing>
          <wp:inline distT="0" distB="0" distL="0" distR="0" wp14:anchorId="0B3FD971" wp14:editId="787D7AAA">
            <wp:extent cx="6188710" cy="550752"/>
            <wp:effectExtent l="0" t="0" r="2540" b="1905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5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274FE" w14:textId="3DBE2886" w:rsidR="00D70F5C" w:rsidRDefault="00FC7245" w:rsidP="00FC7245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8C1C22" w:rsidRPr="008720AB">
        <w:rPr>
          <w:rFonts w:cs="Open Sans"/>
          <w:color w:val="000000"/>
          <w:sz w:val="16"/>
          <w:szCs w:val="16"/>
          <w:shd w:val="clear" w:color="auto" w:fill="FFFFFF"/>
        </w:rPr>
        <w:t xml:space="preserve">2007 a 2016 - AEPS anteriores; 2017 - 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extração em 30/04/2018)</w:t>
      </w:r>
    </w:p>
    <w:p w14:paraId="4DEEF29D" w14:textId="77777777" w:rsidR="00D70F5C" w:rsidRPr="008720AB" w:rsidRDefault="00D70F5C" w:rsidP="00FC7245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</w:p>
    <w:p w14:paraId="105E807B" w14:textId="709DCA11" w:rsidR="00310A8B" w:rsidRPr="00C17465" w:rsidRDefault="00310A8B" w:rsidP="00E438B1">
      <w:pPr>
        <w:rPr>
          <w:rFonts w:eastAsiaTheme="majorEastAsia" w:cstheme="majorBidi"/>
          <w:b/>
          <w:bCs/>
          <w:sz w:val="20"/>
          <w:szCs w:val="20"/>
          <w:shd w:val="clear" w:color="auto" w:fill="FFFFFF"/>
        </w:rPr>
      </w:pP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Gráfico XIV.0</w:t>
      </w:r>
      <w:r w:rsidR="00F5464C"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6</w:t>
      </w: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 - </w:t>
      </w:r>
      <w:r w:rsidR="009D7027"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Quantidade de segurados dos RPPS de Estados, Distrito Federal e Municípios</w:t>
      </w:r>
    </w:p>
    <w:p w14:paraId="77968F03" w14:textId="4D6381F4" w:rsidR="000F6C97" w:rsidRPr="008720AB" w:rsidRDefault="00582F13" w:rsidP="000F6C97">
      <w:pPr>
        <w:spacing w:after="60"/>
        <w:jc w:val="center"/>
        <w:rPr>
          <w:rFonts w:cs="Open Sans"/>
          <w:color w:val="000000"/>
          <w:shd w:val="clear" w:color="auto" w:fill="FFFFFF"/>
        </w:rPr>
      </w:pPr>
      <w:r>
        <w:rPr>
          <w:rFonts w:cs="Open Sans"/>
          <w:noProof/>
          <w:color w:val="000000"/>
          <w:shd w:val="clear" w:color="auto" w:fill="FFFFFF"/>
          <w:lang w:eastAsia="pt-BR"/>
        </w:rPr>
        <w:drawing>
          <wp:inline distT="0" distB="0" distL="0" distR="0" wp14:anchorId="27423B24" wp14:editId="2B420BB1">
            <wp:extent cx="5400000" cy="372960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72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F6C97" w:rsidRPr="008720AB">
        <w:rPr>
          <w:rFonts w:cs="Open Sans"/>
          <w:color w:val="000000"/>
          <w:shd w:val="clear" w:color="auto" w:fill="FFFFFF"/>
        </w:rPr>
        <w:t xml:space="preserve"> </w:t>
      </w:r>
    </w:p>
    <w:p w14:paraId="65F9537C" w14:textId="77777777" w:rsidR="000F6C97" w:rsidRDefault="000F6C97" w:rsidP="000F6C97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</w:t>
      </w:r>
      <w:r w:rsidR="00AE11DF" w:rsidRPr="008720AB">
        <w:rPr>
          <w:rFonts w:cs="Open Sans"/>
          <w:color w:val="000000"/>
          <w:sz w:val="16"/>
          <w:szCs w:val="16"/>
          <w:shd w:val="clear" w:color="auto" w:fill="FFFFFF"/>
        </w:rPr>
        <w:t>2007 a 2016 - AEPS anteriores; 2017 - extração em 30/04/2018</w:t>
      </w: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)</w:t>
      </w:r>
    </w:p>
    <w:p w14:paraId="01F48079" w14:textId="77777777" w:rsidR="00D70F5C" w:rsidRDefault="00D70F5C" w:rsidP="000F6C97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</w:p>
    <w:p w14:paraId="1BF141E1" w14:textId="71D5AFF5" w:rsidR="00D70F5C" w:rsidRDefault="00261EBD" w:rsidP="00E438B1">
      <w:pPr>
        <w:spacing w:after="60"/>
        <w:jc w:val="both"/>
        <w:rPr>
          <w:rFonts w:cs="Open Sans"/>
          <w:color w:val="000000"/>
          <w:sz w:val="16"/>
          <w:szCs w:val="16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ab/>
      </w:r>
      <w:r w:rsidRPr="008720AB">
        <w:rPr>
          <w:rFonts w:cs="Open Sans"/>
          <w:color w:val="000000"/>
          <w:shd w:val="clear" w:color="auto" w:fill="FFFFFF"/>
        </w:rPr>
        <w:t>A tabela XIV.</w:t>
      </w:r>
      <w:proofErr w:type="gramStart"/>
      <w:r w:rsidRPr="008720AB">
        <w:rPr>
          <w:rFonts w:cs="Open Sans"/>
          <w:color w:val="000000"/>
          <w:shd w:val="clear" w:color="auto" w:fill="FFFFFF"/>
        </w:rPr>
        <w:t>0</w:t>
      </w:r>
      <w:r>
        <w:rPr>
          <w:rFonts w:cs="Open Sans"/>
          <w:color w:val="000000"/>
          <w:shd w:val="clear" w:color="auto" w:fill="FFFFFF"/>
        </w:rPr>
        <w:t>9</w:t>
      </w:r>
      <w:r w:rsidRPr="008720AB">
        <w:rPr>
          <w:rFonts w:cs="Open Sans"/>
          <w:color w:val="000000"/>
          <w:shd w:val="clear" w:color="auto" w:fill="FFFFFF"/>
        </w:rPr>
        <w:t xml:space="preserve"> mostra</w:t>
      </w:r>
      <w:proofErr w:type="gramEnd"/>
      <w:r w:rsidRPr="008720AB">
        <w:rPr>
          <w:rFonts w:cs="Open Sans"/>
          <w:color w:val="000000"/>
          <w:shd w:val="clear" w:color="auto" w:fill="FFFFFF"/>
        </w:rPr>
        <w:t xml:space="preserve"> </w:t>
      </w:r>
      <w:r>
        <w:rPr>
          <w:rFonts w:cs="Open Sans"/>
          <w:color w:val="000000"/>
          <w:shd w:val="clear" w:color="auto" w:fill="FFFFFF"/>
        </w:rPr>
        <w:t xml:space="preserve">como </w:t>
      </w:r>
      <w:r w:rsidRPr="008720AB">
        <w:rPr>
          <w:rFonts w:cs="Open Sans"/>
          <w:color w:val="000000"/>
          <w:shd w:val="clear" w:color="auto" w:fill="FFFFFF"/>
        </w:rPr>
        <w:t xml:space="preserve">o quantitativo total de segurados dos RPPS </w:t>
      </w:r>
      <w:r>
        <w:rPr>
          <w:rFonts w:cs="Open Sans"/>
          <w:color w:val="000000"/>
          <w:shd w:val="clear" w:color="auto" w:fill="FFFFFF"/>
        </w:rPr>
        <w:t>dos Estados, Distrito Federal e Municípios encontra-se distribuído no país, por região geográfica e grupo.</w:t>
      </w:r>
    </w:p>
    <w:p w14:paraId="117916C1" w14:textId="77777777" w:rsidR="00D70F5C" w:rsidRDefault="00D70F5C" w:rsidP="000F6C97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</w:p>
    <w:p w14:paraId="6D6AB590" w14:textId="77777777" w:rsidR="00D70F5C" w:rsidRDefault="00D70F5C" w:rsidP="000F6C97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</w:p>
    <w:p w14:paraId="0347198B" w14:textId="77777777" w:rsidR="006E0340" w:rsidRDefault="006E0340">
      <w:pPr>
        <w:rPr>
          <w:rFonts w:eastAsiaTheme="majorEastAsia" w:cstheme="majorBidi"/>
          <w:b/>
          <w:bCs/>
          <w:color w:val="4F81BD" w:themeColor="accent1"/>
          <w:sz w:val="20"/>
          <w:szCs w:val="20"/>
          <w:shd w:val="clear" w:color="auto" w:fill="FFFFFF"/>
        </w:rPr>
      </w:pPr>
      <w:r>
        <w:rPr>
          <w:rFonts w:eastAsiaTheme="majorEastAsia" w:cstheme="majorBidi"/>
          <w:b/>
          <w:bCs/>
          <w:color w:val="4F81BD" w:themeColor="accent1"/>
          <w:sz w:val="20"/>
          <w:szCs w:val="20"/>
          <w:shd w:val="clear" w:color="auto" w:fill="FFFFFF"/>
        </w:rPr>
        <w:br w:type="page"/>
      </w:r>
    </w:p>
    <w:p w14:paraId="2E40E848" w14:textId="50526059" w:rsidR="00C326B6" w:rsidRPr="00C17465" w:rsidRDefault="00901FAC" w:rsidP="00770D1A">
      <w:pPr>
        <w:spacing w:before="360" w:after="60"/>
        <w:jc w:val="both"/>
        <w:rPr>
          <w:rFonts w:eastAsiaTheme="majorEastAsia" w:cstheme="majorBidi"/>
          <w:b/>
          <w:bCs/>
          <w:sz w:val="20"/>
          <w:szCs w:val="20"/>
          <w:shd w:val="clear" w:color="auto" w:fill="FFFFFF"/>
        </w:rPr>
      </w:pP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lastRenderedPageBreak/>
        <w:t xml:space="preserve">Tabela XIV.09 - </w:t>
      </w:r>
      <w:r w:rsidR="00770D1A"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Segurados</w:t>
      </w: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 dos RPPS</w:t>
      </w:r>
      <w:r w:rsidR="00770D1A"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 dos</w:t>
      </w: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 Estados, Distrito Federal e Municípios </w:t>
      </w:r>
      <w:r w:rsidR="00770D1A"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por Grupo</w:t>
      </w:r>
    </w:p>
    <w:p w14:paraId="5F21638B" w14:textId="77777777" w:rsidR="00305E3A" w:rsidRDefault="00305E3A" w:rsidP="00770D1A">
      <w:pPr>
        <w:spacing w:after="60"/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</w:pPr>
      <w:r w:rsidRPr="00305E3A">
        <w:rPr>
          <w:noProof/>
          <w:lang w:eastAsia="pt-BR"/>
        </w:rPr>
        <w:drawing>
          <wp:inline distT="0" distB="0" distL="0" distR="0" wp14:anchorId="634A4785" wp14:editId="72555A1F">
            <wp:extent cx="5507355" cy="1294765"/>
            <wp:effectExtent l="0" t="0" r="0" b="63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35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A302F" w14:textId="77777777" w:rsidR="00770D1A" w:rsidRPr="008720AB" w:rsidRDefault="00770D1A" w:rsidP="00770D1A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(posição em dezembro/2017, conforme base de dados extraída em 30/04/2018)</w:t>
      </w:r>
    </w:p>
    <w:p w14:paraId="3638BE43" w14:textId="7953D65D" w:rsidR="00CE0699" w:rsidRDefault="00CE0699" w:rsidP="00171E61">
      <w:pPr>
        <w:spacing w:before="360" w:after="240"/>
        <w:jc w:val="both"/>
        <w:rPr>
          <w:rFonts w:cs="Open Sans"/>
          <w:color w:val="000000"/>
          <w:sz w:val="16"/>
          <w:szCs w:val="16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ab/>
        <w:t>A seguir é apresentada a média da remuneração dos</w:t>
      </w:r>
      <w:r w:rsidRPr="008720AB">
        <w:rPr>
          <w:rFonts w:cs="Open Sans"/>
          <w:color w:val="000000"/>
          <w:shd w:val="clear" w:color="auto" w:fill="FFFFFF"/>
        </w:rPr>
        <w:t xml:space="preserve"> segurados dos RPPS </w:t>
      </w:r>
      <w:r>
        <w:rPr>
          <w:rFonts w:cs="Open Sans"/>
          <w:color w:val="000000"/>
          <w:shd w:val="clear" w:color="auto" w:fill="FFFFFF"/>
        </w:rPr>
        <w:t>dos Estados, Distrito Federal e Municípios, por região geográfica e grupo</w:t>
      </w:r>
      <w:r w:rsidR="00AF4E09">
        <w:rPr>
          <w:rFonts w:cs="Open Sans"/>
          <w:color w:val="000000"/>
          <w:shd w:val="clear" w:color="auto" w:fill="FFFFFF"/>
        </w:rPr>
        <w:t>, nas</w:t>
      </w:r>
      <w:r w:rsidRPr="008720AB">
        <w:rPr>
          <w:rFonts w:cs="Open Sans"/>
          <w:color w:val="000000"/>
          <w:shd w:val="clear" w:color="auto" w:fill="FFFFFF"/>
        </w:rPr>
        <w:t xml:space="preserve"> tabela</w:t>
      </w:r>
      <w:r>
        <w:rPr>
          <w:rFonts w:cs="Open Sans"/>
          <w:color w:val="000000"/>
          <w:shd w:val="clear" w:color="auto" w:fill="FFFFFF"/>
        </w:rPr>
        <w:t>s</w:t>
      </w:r>
      <w:r w:rsidRPr="008720AB">
        <w:rPr>
          <w:rFonts w:cs="Open Sans"/>
          <w:color w:val="000000"/>
          <w:shd w:val="clear" w:color="auto" w:fill="FFFFFF"/>
        </w:rPr>
        <w:t xml:space="preserve"> XIV.</w:t>
      </w:r>
      <w:r>
        <w:rPr>
          <w:rFonts w:cs="Open Sans"/>
          <w:color w:val="000000"/>
          <w:shd w:val="clear" w:color="auto" w:fill="FFFFFF"/>
        </w:rPr>
        <w:t>1</w:t>
      </w:r>
      <w:r w:rsidRPr="008720AB">
        <w:rPr>
          <w:rFonts w:cs="Open Sans"/>
          <w:color w:val="000000"/>
          <w:shd w:val="clear" w:color="auto" w:fill="FFFFFF"/>
        </w:rPr>
        <w:t>0</w:t>
      </w:r>
      <w:r w:rsidR="00AF4E09">
        <w:rPr>
          <w:rFonts w:cs="Open Sans"/>
          <w:color w:val="000000"/>
          <w:shd w:val="clear" w:color="auto" w:fill="FFFFFF"/>
        </w:rPr>
        <w:t xml:space="preserve"> (servidores ativos)</w:t>
      </w:r>
      <w:r>
        <w:rPr>
          <w:rFonts w:cs="Open Sans"/>
          <w:color w:val="000000"/>
          <w:shd w:val="clear" w:color="auto" w:fill="FFFFFF"/>
        </w:rPr>
        <w:t>, XIV.11</w:t>
      </w:r>
      <w:r w:rsidR="00AF4E09">
        <w:rPr>
          <w:rFonts w:cs="Open Sans"/>
          <w:color w:val="000000"/>
          <w:shd w:val="clear" w:color="auto" w:fill="FFFFFF"/>
        </w:rPr>
        <w:t xml:space="preserve"> (aposentados)</w:t>
      </w:r>
      <w:r>
        <w:rPr>
          <w:rFonts w:cs="Open Sans"/>
          <w:color w:val="000000"/>
          <w:shd w:val="clear" w:color="auto" w:fill="FFFFFF"/>
        </w:rPr>
        <w:t xml:space="preserve"> e XIV.12</w:t>
      </w:r>
      <w:r w:rsidR="00AF4E09">
        <w:rPr>
          <w:rFonts w:cs="Open Sans"/>
          <w:color w:val="000000"/>
          <w:shd w:val="clear" w:color="auto" w:fill="FFFFFF"/>
        </w:rPr>
        <w:t xml:space="preserve"> (pensionistas).</w:t>
      </w:r>
    </w:p>
    <w:p w14:paraId="1CB2AE2E" w14:textId="0CD699CC" w:rsidR="00770D1A" w:rsidRPr="00C17465" w:rsidRDefault="00770D1A" w:rsidP="00770D1A">
      <w:pPr>
        <w:spacing w:before="360" w:after="60"/>
        <w:jc w:val="both"/>
        <w:rPr>
          <w:rFonts w:eastAsiaTheme="majorEastAsia" w:cstheme="majorBidi"/>
          <w:b/>
          <w:bCs/>
          <w:sz w:val="20"/>
          <w:szCs w:val="20"/>
          <w:shd w:val="clear" w:color="auto" w:fill="FFFFFF"/>
        </w:rPr>
      </w:pP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Tabela XIV.10 </w:t>
      </w:r>
      <w:r w:rsidR="003A42A1"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-</w:t>
      </w: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 Média por RPPS da Remuneração dos Servidores Ativos por Grupo</w:t>
      </w:r>
    </w:p>
    <w:p w14:paraId="0DD0D41C" w14:textId="75923EFB" w:rsidR="00770D1A" w:rsidRPr="00770D1A" w:rsidRDefault="00770D1A" w:rsidP="00770D1A">
      <w:pPr>
        <w:spacing w:after="0"/>
        <w:jc w:val="both"/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</w:pPr>
      <w:r w:rsidRPr="00770D1A">
        <w:rPr>
          <w:noProof/>
          <w:lang w:eastAsia="pt-BR"/>
        </w:rPr>
        <w:drawing>
          <wp:inline distT="0" distB="0" distL="0" distR="0" wp14:anchorId="2529E5BD" wp14:editId="59DF7722">
            <wp:extent cx="4279265" cy="1294765"/>
            <wp:effectExtent l="0" t="0" r="6985" b="635"/>
            <wp:docPr id="44" name="Image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5EEE5" w14:textId="77777777" w:rsidR="00770D1A" w:rsidRDefault="00770D1A" w:rsidP="00770D1A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(posição em dezembro/2017, conforme base de dados extraída em 30/04/2018)</w:t>
      </w:r>
    </w:p>
    <w:p w14:paraId="130D1AB0" w14:textId="1108189B" w:rsidR="00770D1A" w:rsidRPr="00770D1A" w:rsidRDefault="00770D1A" w:rsidP="00171E61">
      <w:pPr>
        <w:spacing w:before="360" w:after="60"/>
        <w:jc w:val="both"/>
        <w:rPr>
          <w:rFonts w:eastAsiaTheme="majorEastAsia" w:cstheme="majorBidi"/>
          <w:b/>
          <w:bCs/>
          <w:color w:val="4F81BD" w:themeColor="accent1"/>
          <w:sz w:val="20"/>
          <w:szCs w:val="20"/>
          <w:shd w:val="clear" w:color="auto" w:fill="FFFFFF"/>
        </w:rPr>
      </w:pP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Tabela XIV.11 </w:t>
      </w:r>
      <w:r w:rsidR="003A42A1"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-</w:t>
      </w: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 Média por RPPS da Remuneração dos Aposentados por Grupo</w:t>
      </w:r>
    </w:p>
    <w:p w14:paraId="78C59957" w14:textId="50549A05" w:rsidR="00770D1A" w:rsidRPr="00171E61" w:rsidRDefault="00770D1A" w:rsidP="00770D1A">
      <w:pPr>
        <w:spacing w:after="0"/>
        <w:jc w:val="both"/>
        <w:rPr>
          <w:noProof/>
          <w:lang w:eastAsia="pt-BR"/>
        </w:rPr>
      </w:pPr>
      <w:r w:rsidRPr="00770D1A">
        <w:rPr>
          <w:noProof/>
          <w:lang w:eastAsia="pt-BR"/>
        </w:rPr>
        <w:drawing>
          <wp:inline distT="0" distB="0" distL="0" distR="0" wp14:anchorId="11E07231" wp14:editId="19369490">
            <wp:extent cx="4279265" cy="1294765"/>
            <wp:effectExtent l="0" t="0" r="6985" b="635"/>
            <wp:docPr id="46" name="Image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8A2C7" w14:textId="77777777" w:rsidR="00770D1A" w:rsidRPr="008720AB" w:rsidRDefault="00770D1A" w:rsidP="00770D1A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(posição em dezembro/2017, conforme base de dados extraída em 30/04/2018)</w:t>
      </w:r>
    </w:p>
    <w:p w14:paraId="24D78930" w14:textId="7EA4B3F1" w:rsidR="00770D1A" w:rsidRPr="00770D1A" w:rsidRDefault="00770D1A" w:rsidP="00770D1A">
      <w:pPr>
        <w:spacing w:before="360" w:after="60"/>
        <w:jc w:val="both"/>
        <w:rPr>
          <w:rFonts w:eastAsiaTheme="majorEastAsia" w:cstheme="majorBidi"/>
          <w:b/>
          <w:bCs/>
          <w:color w:val="4F81BD" w:themeColor="accent1"/>
          <w:sz w:val="20"/>
          <w:szCs w:val="20"/>
          <w:shd w:val="clear" w:color="auto" w:fill="FFFFFF"/>
        </w:rPr>
      </w:pP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Tabela XIV.12 </w:t>
      </w:r>
      <w:r w:rsidR="003A42A1"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>-</w:t>
      </w:r>
      <w:r w:rsidRPr="00C17465">
        <w:rPr>
          <w:rFonts w:eastAsiaTheme="majorEastAsia" w:cstheme="majorBidi"/>
          <w:b/>
          <w:bCs/>
          <w:sz w:val="20"/>
          <w:szCs w:val="20"/>
          <w:shd w:val="clear" w:color="auto" w:fill="FFFFFF"/>
        </w:rPr>
        <w:t xml:space="preserve"> Média por RPPS da Remuneração dos Pensionistas por Grupo</w:t>
      </w:r>
    </w:p>
    <w:p w14:paraId="7BB6C4B2" w14:textId="37582121" w:rsidR="00770D1A" w:rsidRPr="00770D1A" w:rsidRDefault="00770D1A" w:rsidP="00770D1A">
      <w:pPr>
        <w:spacing w:after="0"/>
        <w:jc w:val="both"/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</w:pPr>
      <w:r w:rsidRPr="00770D1A">
        <w:rPr>
          <w:noProof/>
          <w:lang w:eastAsia="pt-BR"/>
        </w:rPr>
        <w:drawing>
          <wp:inline distT="0" distB="0" distL="0" distR="0" wp14:anchorId="30B81CEE" wp14:editId="77860FBC">
            <wp:extent cx="4279265" cy="1294765"/>
            <wp:effectExtent l="0" t="0" r="6985" b="635"/>
            <wp:docPr id="48" name="Image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26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C101D" w14:textId="0F982941" w:rsidR="003A344D" w:rsidRDefault="00770D1A" w:rsidP="00E438B1">
      <w:pPr>
        <w:spacing w:after="60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(posição em dezembro/2017, conforme base de dados extraída em 30/04/2018)</w:t>
      </w:r>
    </w:p>
    <w:p w14:paraId="47B64EEF" w14:textId="77777777" w:rsidR="003A344D" w:rsidRDefault="003A344D" w:rsidP="00E438B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  <w:bookmarkStart w:id="12" w:name="_GoBack"/>
      <w:bookmarkEnd w:id="12"/>
    </w:p>
    <w:p w14:paraId="29049D61" w14:textId="5B734A19" w:rsidR="00AE11DF" w:rsidRPr="008720AB" w:rsidRDefault="00770D1A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lastRenderedPageBreak/>
        <w:t>A tabela XIV.13</w:t>
      </w:r>
      <w:r w:rsidR="008A7F16" w:rsidRPr="008720AB">
        <w:rPr>
          <w:rFonts w:cs="Open Sans"/>
          <w:color w:val="000000"/>
          <w:shd w:val="clear" w:color="auto" w:fill="FFFFFF"/>
        </w:rPr>
        <w:t xml:space="preserve"> mostra a média da proporção entre o número de segurados dos RPPS dos Estados, Distrito Federal e Municípios e a população total do ente federativo, por região geográfica e grupo</w:t>
      </w:r>
      <w:r w:rsidR="000F6C97" w:rsidRPr="008720AB">
        <w:rPr>
          <w:rFonts w:cs="Open Sans"/>
          <w:color w:val="000000"/>
          <w:shd w:val="clear" w:color="auto" w:fill="FFFFFF"/>
        </w:rPr>
        <w:t>.</w:t>
      </w:r>
    </w:p>
    <w:p w14:paraId="31166A35" w14:textId="76899E95" w:rsidR="000F6C97" w:rsidRPr="00C17465" w:rsidRDefault="000F6C97" w:rsidP="00983C5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13" w:name="_Toc525894873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</w:t>
      </w:r>
      <w:r w:rsidR="00770D1A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13</w:t>
      </w:r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- Segurados dos RPPS / População Total, Média por Grupo</w:t>
      </w:r>
      <w:bookmarkEnd w:id="13"/>
    </w:p>
    <w:p w14:paraId="43F5302C" w14:textId="77777777" w:rsidR="000F6C97" w:rsidRPr="008720AB" w:rsidRDefault="000F6C97" w:rsidP="000F6C97">
      <w:pPr>
        <w:spacing w:after="60"/>
        <w:jc w:val="both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noProof/>
          <w:lang w:eastAsia="pt-BR"/>
        </w:rPr>
        <w:drawing>
          <wp:inline distT="0" distB="0" distL="0" distR="0" wp14:anchorId="7AC06667" wp14:editId="7A78E4A2">
            <wp:extent cx="4044950" cy="1580515"/>
            <wp:effectExtent l="0" t="0" r="0" b="635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950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5D550" w14:textId="77777777" w:rsidR="000F6C97" w:rsidRPr="008720AB" w:rsidRDefault="000F6C97" w:rsidP="000F6C97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021522ED" w14:textId="2A015285" w:rsidR="000F6C97" w:rsidRDefault="00004724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A tabela XIV.</w:t>
      </w:r>
      <w:r w:rsidR="00770D1A">
        <w:rPr>
          <w:rFonts w:cs="Open Sans"/>
          <w:color w:val="000000"/>
          <w:shd w:val="clear" w:color="auto" w:fill="FFFFFF"/>
        </w:rPr>
        <w:t>14</w:t>
      </w:r>
      <w:r w:rsidRPr="008720AB">
        <w:rPr>
          <w:rFonts w:cs="Open Sans"/>
          <w:color w:val="000000"/>
          <w:shd w:val="clear" w:color="auto" w:fill="FFFFFF"/>
        </w:rPr>
        <w:t xml:space="preserve"> apresenta a relação entre o número de servidores ativos e o número de aposentados e pensionistas. Esse é um indicador simples e relevante para se </w:t>
      </w:r>
      <w:r w:rsidR="001A395B" w:rsidRPr="008720AB">
        <w:rPr>
          <w:rFonts w:cs="Open Sans"/>
          <w:color w:val="000000"/>
          <w:shd w:val="clear" w:color="auto" w:fill="FFFFFF"/>
        </w:rPr>
        <w:t>aferi</w:t>
      </w:r>
      <w:r w:rsidRPr="008720AB">
        <w:rPr>
          <w:rFonts w:cs="Open Sans"/>
          <w:color w:val="000000"/>
          <w:shd w:val="clear" w:color="auto" w:fill="FFFFFF"/>
        </w:rPr>
        <w:t xml:space="preserve">r o grau de maturidade da massa de segurados de um RPPS e em que medida as </w:t>
      </w:r>
      <w:r w:rsidR="001A395B" w:rsidRPr="008720AB">
        <w:rPr>
          <w:rFonts w:cs="Open Sans"/>
          <w:color w:val="000000"/>
          <w:shd w:val="clear" w:color="auto" w:fill="FFFFFF"/>
        </w:rPr>
        <w:t xml:space="preserve">receitas das </w:t>
      </w:r>
      <w:r w:rsidRPr="008720AB">
        <w:rPr>
          <w:rFonts w:cs="Open Sans"/>
          <w:color w:val="000000"/>
          <w:shd w:val="clear" w:color="auto" w:fill="FFFFFF"/>
        </w:rPr>
        <w:t xml:space="preserve">contribuições incidentes sobre as remunerações dos servidores em atividade </w:t>
      </w:r>
      <w:r w:rsidR="001A395B" w:rsidRPr="008720AB">
        <w:rPr>
          <w:rFonts w:cs="Open Sans"/>
          <w:color w:val="000000"/>
          <w:shd w:val="clear" w:color="auto" w:fill="FFFFFF"/>
        </w:rPr>
        <w:t xml:space="preserve">são suficientes para o pagamento dos benefícios dos </w:t>
      </w:r>
      <w:r w:rsidR="006A5B6B" w:rsidRPr="008720AB">
        <w:rPr>
          <w:rFonts w:cs="Open Sans"/>
          <w:color w:val="000000"/>
          <w:shd w:val="clear" w:color="auto" w:fill="FFFFFF"/>
        </w:rPr>
        <w:t xml:space="preserve">atuais </w:t>
      </w:r>
      <w:r w:rsidR="001A395B" w:rsidRPr="008720AB">
        <w:rPr>
          <w:rFonts w:cs="Open Sans"/>
          <w:color w:val="000000"/>
          <w:shd w:val="clear" w:color="auto" w:fill="FFFFFF"/>
        </w:rPr>
        <w:t>aposentados e pensionistas. Observa-se que a relação nos RPPS dos entes de grande porte (grupos 1, 2 e 3) é, em regra, pior do que nos entes de médio e pequeno porte (</w:t>
      </w:r>
      <w:r w:rsidR="006A5B6B" w:rsidRPr="008720AB">
        <w:rPr>
          <w:rFonts w:cs="Open Sans"/>
          <w:color w:val="000000"/>
          <w:shd w:val="clear" w:color="auto" w:fill="FFFFFF"/>
        </w:rPr>
        <w:t>grupos 4</w:t>
      </w:r>
      <w:r w:rsidR="001A395B" w:rsidRPr="008720AB">
        <w:rPr>
          <w:rFonts w:cs="Open Sans"/>
          <w:color w:val="000000"/>
          <w:shd w:val="clear" w:color="auto" w:fill="FFFFFF"/>
        </w:rPr>
        <w:t>, 5, 6 e 7).</w:t>
      </w:r>
    </w:p>
    <w:p w14:paraId="3E182ADD" w14:textId="0C18F16E" w:rsidR="000F6C97" w:rsidRPr="00C17465" w:rsidRDefault="000F6C97" w:rsidP="00983C5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14" w:name="_Toc525894874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</w:t>
      </w:r>
      <w:r w:rsidR="00770D1A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14</w:t>
      </w:r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- Ativos / Aposentados e Pensionistas, Relação por Grupo</w:t>
      </w:r>
      <w:bookmarkEnd w:id="14"/>
    </w:p>
    <w:p w14:paraId="40312957" w14:textId="77777777" w:rsidR="000F6C97" w:rsidRPr="008720AB" w:rsidRDefault="000F6C97" w:rsidP="000F6C97">
      <w:pPr>
        <w:spacing w:after="60"/>
        <w:jc w:val="both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noProof/>
          <w:lang w:eastAsia="pt-BR"/>
        </w:rPr>
        <w:drawing>
          <wp:inline distT="0" distB="0" distL="0" distR="0" wp14:anchorId="34CC7D70" wp14:editId="0F6C9FE3">
            <wp:extent cx="4048760" cy="1580515"/>
            <wp:effectExtent l="0" t="0" r="8890" b="635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760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BCC44" w14:textId="77777777" w:rsidR="000F6C97" w:rsidRPr="008720AB" w:rsidRDefault="000F6C97" w:rsidP="000F6C97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60855233" w14:textId="77777777" w:rsidR="006E0340" w:rsidRDefault="006E0340">
      <w:pPr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br w:type="page"/>
      </w:r>
    </w:p>
    <w:p w14:paraId="085BDEFD" w14:textId="6912C89C" w:rsidR="006D2D01" w:rsidRDefault="006D2D01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lastRenderedPageBreak/>
        <w:t>O gráfico XIV.0</w:t>
      </w:r>
      <w:r w:rsidR="00B37767">
        <w:rPr>
          <w:rFonts w:cs="Open Sans"/>
          <w:color w:val="000000"/>
          <w:shd w:val="clear" w:color="auto" w:fill="FFFFFF"/>
        </w:rPr>
        <w:t>7</w:t>
      </w:r>
      <w:r w:rsidR="00871594" w:rsidRPr="008720AB">
        <w:rPr>
          <w:rFonts w:cs="Open Sans"/>
          <w:color w:val="000000"/>
          <w:shd w:val="clear" w:color="auto" w:fill="FFFFFF"/>
        </w:rPr>
        <w:t xml:space="preserve"> mostra a evolução do quantitativo total de segurados do RPPS da União (apenas servidores civis), no período de 20</w:t>
      </w:r>
      <w:r w:rsidR="00BB0D48" w:rsidRPr="008720AB">
        <w:rPr>
          <w:rFonts w:cs="Open Sans"/>
          <w:color w:val="000000"/>
          <w:shd w:val="clear" w:color="auto" w:fill="FFFFFF"/>
        </w:rPr>
        <w:t xml:space="preserve">14 a 2018, </w:t>
      </w:r>
      <w:r w:rsidRPr="008720AB">
        <w:rPr>
          <w:rFonts w:cs="Open Sans"/>
          <w:color w:val="000000"/>
          <w:shd w:val="clear" w:color="auto" w:fill="FFFFFF"/>
        </w:rPr>
        <w:t xml:space="preserve">cujo detalhamento encontra-se na tabela </w:t>
      </w:r>
      <w:r w:rsidR="00424F1A">
        <w:rPr>
          <w:rFonts w:cs="Open Sans"/>
          <w:color w:val="000000"/>
          <w:shd w:val="clear" w:color="auto" w:fill="FFFFFF"/>
        </w:rPr>
        <w:t>1</w:t>
      </w:r>
      <w:r w:rsidRPr="008720AB">
        <w:rPr>
          <w:rFonts w:cs="Open Sans"/>
          <w:color w:val="000000"/>
          <w:shd w:val="clear" w:color="auto" w:fill="FFFFFF"/>
        </w:rPr>
        <w:t>.</w:t>
      </w:r>
      <w:r w:rsidR="00BB0D48" w:rsidRPr="008720AB">
        <w:rPr>
          <w:rFonts w:cs="Open Sans"/>
          <w:color w:val="000000"/>
          <w:shd w:val="clear" w:color="auto" w:fill="FFFFFF"/>
        </w:rPr>
        <w:t>6</w:t>
      </w:r>
      <w:r w:rsidR="00424F1A">
        <w:rPr>
          <w:rFonts w:cs="Open Sans"/>
          <w:color w:val="000000"/>
          <w:shd w:val="clear" w:color="auto" w:fill="FFFFFF"/>
        </w:rPr>
        <w:t xml:space="preserve"> do Suplemento</w:t>
      </w:r>
      <w:r w:rsidR="00BB0D48" w:rsidRPr="008720AB">
        <w:rPr>
          <w:rFonts w:cs="Open Sans"/>
          <w:color w:val="000000"/>
          <w:shd w:val="clear" w:color="auto" w:fill="FFFFFF"/>
        </w:rPr>
        <w:t>.</w:t>
      </w:r>
    </w:p>
    <w:p w14:paraId="46E7A903" w14:textId="77777777" w:rsidR="00B37767" w:rsidRPr="00C17465" w:rsidRDefault="00B37767" w:rsidP="00B37767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15" w:name="_Toc525894875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Gráfico XIV.07 - Quantidade de Segurados Civis da União</w:t>
      </w:r>
      <w:bookmarkEnd w:id="15"/>
    </w:p>
    <w:p w14:paraId="091BF606" w14:textId="4B553176" w:rsidR="006D2D01" w:rsidRPr="008720AB" w:rsidRDefault="00B37767" w:rsidP="006D2D01">
      <w:pPr>
        <w:spacing w:after="60"/>
        <w:jc w:val="center"/>
        <w:rPr>
          <w:rFonts w:cs="Open Sans"/>
          <w:color w:val="000000"/>
          <w:shd w:val="clear" w:color="auto" w:fill="FFFFFF"/>
        </w:rPr>
      </w:pPr>
      <w:r>
        <w:rPr>
          <w:rFonts w:cs="Open Sans"/>
          <w:noProof/>
          <w:color w:val="000000"/>
          <w:shd w:val="clear" w:color="auto" w:fill="FFFFFF"/>
          <w:lang w:eastAsia="pt-BR"/>
        </w:rPr>
        <w:drawing>
          <wp:inline distT="0" distB="0" distL="0" distR="0" wp14:anchorId="784A5EFC" wp14:editId="54C29E30">
            <wp:extent cx="4983480" cy="3448568"/>
            <wp:effectExtent l="0" t="0" r="7620" b="0"/>
            <wp:docPr id="49" name="Image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8530" cy="34520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D2D01" w:rsidRPr="008720AB">
        <w:rPr>
          <w:rFonts w:cs="Open Sans"/>
          <w:color w:val="000000"/>
          <w:shd w:val="clear" w:color="auto" w:fill="FFFFFF"/>
        </w:rPr>
        <w:t xml:space="preserve"> </w:t>
      </w:r>
    </w:p>
    <w:p w14:paraId="10B9E992" w14:textId="77777777" w:rsidR="006D2D01" w:rsidRPr="008720AB" w:rsidRDefault="006D2D01" w:rsidP="006D2D01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5F43FC8D" w14:textId="56F3E795" w:rsidR="003240AF" w:rsidRPr="008720AB" w:rsidRDefault="003240AF" w:rsidP="00E438B1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A tabela XIV.</w:t>
      </w:r>
      <w:r w:rsidR="0075050E">
        <w:rPr>
          <w:rFonts w:cs="Open Sans"/>
          <w:color w:val="000000"/>
          <w:shd w:val="clear" w:color="auto" w:fill="FFFFFF"/>
        </w:rPr>
        <w:t>15</w:t>
      </w:r>
      <w:r w:rsidRPr="008720AB">
        <w:rPr>
          <w:rFonts w:cs="Open Sans"/>
          <w:color w:val="000000"/>
          <w:shd w:val="clear" w:color="auto" w:fill="FFFFFF"/>
        </w:rPr>
        <w:t xml:space="preserve"> </w:t>
      </w:r>
      <w:r w:rsidR="00396CC8" w:rsidRPr="008720AB">
        <w:rPr>
          <w:rFonts w:cs="Open Sans"/>
          <w:color w:val="000000"/>
          <w:shd w:val="clear" w:color="auto" w:fill="FFFFFF"/>
        </w:rPr>
        <w:t>mostra</w:t>
      </w:r>
      <w:r w:rsidR="004F4971" w:rsidRPr="008720AB">
        <w:rPr>
          <w:rFonts w:cs="Open Sans"/>
          <w:color w:val="000000"/>
          <w:shd w:val="clear" w:color="auto" w:fill="FFFFFF"/>
        </w:rPr>
        <w:t xml:space="preserve"> a evolução do </w:t>
      </w:r>
      <w:r w:rsidR="00D62CFA" w:rsidRPr="008720AB">
        <w:rPr>
          <w:rFonts w:cs="Open Sans"/>
          <w:color w:val="000000"/>
          <w:shd w:val="clear" w:color="auto" w:fill="FFFFFF"/>
        </w:rPr>
        <w:t>R</w:t>
      </w:r>
      <w:r w:rsidR="004F4971" w:rsidRPr="008720AB">
        <w:rPr>
          <w:rFonts w:cs="Open Sans"/>
          <w:color w:val="000000"/>
          <w:shd w:val="clear" w:color="auto" w:fill="FFFFFF"/>
        </w:rPr>
        <w:t xml:space="preserve">esultado </w:t>
      </w:r>
      <w:r w:rsidR="00D62CFA" w:rsidRPr="008720AB">
        <w:rPr>
          <w:rFonts w:cs="Open Sans"/>
          <w:color w:val="000000"/>
          <w:shd w:val="clear" w:color="auto" w:fill="FFFFFF"/>
        </w:rPr>
        <w:t>P</w:t>
      </w:r>
      <w:r w:rsidR="004F4971" w:rsidRPr="008720AB">
        <w:rPr>
          <w:rFonts w:cs="Open Sans"/>
          <w:color w:val="000000"/>
          <w:shd w:val="clear" w:color="auto" w:fill="FFFFFF"/>
        </w:rPr>
        <w:t>revidenciário dos RPPS</w:t>
      </w:r>
      <w:r w:rsidR="00396CC8" w:rsidRPr="008720AB">
        <w:rPr>
          <w:rFonts w:cs="Open Sans"/>
          <w:color w:val="000000"/>
          <w:shd w:val="clear" w:color="auto" w:fill="FFFFFF"/>
        </w:rPr>
        <w:t xml:space="preserve">, no período de 2007 a 2016, </w:t>
      </w:r>
      <w:r w:rsidR="00550E3E" w:rsidRPr="008720AB">
        <w:rPr>
          <w:rFonts w:cs="Open Sans"/>
          <w:color w:val="000000"/>
          <w:shd w:val="clear" w:color="auto" w:fill="FFFFFF"/>
        </w:rPr>
        <w:t xml:space="preserve">para </w:t>
      </w:r>
      <w:r w:rsidR="00396CC8" w:rsidRPr="008720AB">
        <w:rPr>
          <w:rFonts w:cs="Open Sans"/>
          <w:color w:val="000000"/>
          <w:shd w:val="clear" w:color="auto" w:fill="FFFFFF"/>
        </w:rPr>
        <w:t>Estados/Distrito Federal, Capitais e Demais Municípios.</w:t>
      </w:r>
      <w:r w:rsidR="00E33F50" w:rsidRPr="008720AB">
        <w:rPr>
          <w:rFonts w:cs="Open Sans"/>
          <w:color w:val="000000"/>
          <w:shd w:val="clear" w:color="auto" w:fill="FFFFFF"/>
        </w:rPr>
        <w:t xml:space="preserve"> Tais informações reproduzem os números divulgados nos AEPS anteriores, conforme a metodologia então utilizada para apuração do resultado previdenciário.</w:t>
      </w:r>
    </w:p>
    <w:p w14:paraId="5E2B302B" w14:textId="6C5E3762" w:rsidR="003240AF" w:rsidRPr="00C17465" w:rsidRDefault="0075050E" w:rsidP="00983C5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16" w:name="_Toc525894876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XIV.15</w:t>
      </w:r>
      <w:r w:rsidR="003240AF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- Resultado Previdenciário dos RPPS dos Estados, Distrito Federal e Municípios (Evolução 2007 a 2016)</w:t>
      </w:r>
      <w:bookmarkEnd w:id="16"/>
    </w:p>
    <w:p w14:paraId="39E3B996" w14:textId="77777777" w:rsidR="003240AF" w:rsidRPr="008720AB" w:rsidRDefault="003240AF" w:rsidP="003240AF">
      <w:pPr>
        <w:spacing w:after="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0AB9AC5D" wp14:editId="73FEC230">
            <wp:extent cx="6188710" cy="587571"/>
            <wp:effectExtent l="0" t="0" r="2540" b="3175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87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392C5" w14:textId="77777777" w:rsidR="003240AF" w:rsidRPr="008720AB" w:rsidRDefault="003240AF" w:rsidP="003240AF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7686E146" w14:textId="35D5D9D5" w:rsidR="00E33F50" w:rsidRPr="00A3192C" w:rsidRDefault="00C05455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A3192C">
        <w:rPr>
          <w:rFonts w:cs="Open Sans"/>
          <w:color w:val="000000"/>
          <w:shd w:val="clear" w:color="auto" w:fill="FFFFFF"/>
        </w:rPr>
        <w:t xml:space="preserve">A partir do </w:t>
      </w:r>
      <w:r w:rsidR="003A2BCD" w:rsidRPr="00A3192C">
        <w:rPr>
          <w:rFonts w:cs="Open Sans"/>
          <w:color w:val="000000"/>
          <w:shd w:val="clear" w:color="auto" w:fill="FFFFFF"/>
        </w:rPr>
        <w:t xml:space="preserve">AEPS 2017 o </w:t>
      </w:r>
      <w:r w:rsidR="00EF272B" w:rsidRPr="00A3192C">
        <w:rPr>
          <w:rFonts w:cs="Open Sans"/>
          <w:color w:val="000000"/>
          <w:shd w:val="clear" w:color="auto" w:fill="FFFFFF"/>
        </w:rPr>
        <w:t>R</w:t>
      </w:r>
      <w:r w:rsidR="003A2BCD" w:rsidRPr="00A3192C">
        <w:rPr>
          <w:rFonts w:cs="Open Sans"/>
          <w:color w:val="000000"/>
          <w:shd w:val="clear" w:color="auto" w:fill="FFFFFF"/>
        </w:rPr>
        <w:t xml:space="preserve">esultado </w:t>
      </w:r>
      <w:r w:rsidR="00EF272B" w:rsidRPr="00A3192C">
        <w:rPr>
          <w:rFonts w:cs="Open Sans"/>
          <w:color w:val="000000"/>
          <w:shd w:val="clear" w:color="auto" w:fill="FFFFFF"/>
        </w:rPr>
        <w:t>P</w:t>
      </w:r>
      <w:r w:rsidR="003A2BCD" w:rsidRPr="00A3192C">
        <w:rPr>
          <w:rFonts w:cs="Open Sans"/>
          <w:color w:val="000000"/>
          <w:shd w:val="clear" w:color="auto" w:fill="FFFFFF"/>
        </w:rPr>
        <w:t xml:space="preserve">revidenciário está sendo substituído pelo </w:t>
      </w:r>
      <w:r w:rsidR="00EF272B" w:rsidRPr="00A3192C">
        <w:rPr>
          <w:rFonts w:cs="Open Sans"/>
          <w:color w:val="000000"/>
          <w:shd w:val="clear" w:color="auto" w:fill="FFFFFF"/>
        </w:rPr>
        <w:t>R</w:t>
      </w:r>
      <w:r w:rsidR="003A2BCD" w:rsidRPr="00A3192C">
        <w:rPr>
          <w:rFonts w:cs="Open Sans"/>
          <w:color w:val="000000"/>
          <w:shd w:val="clear" w:color="auto" w:fill="FFFFFF"/>
        </w:rPr>
        <w:t xml:space="preserve">esultado </w:t>
      </w:r>
      <w:r w:rsidR="00EF272B" w:rsidRPr="00A3192C">
        <w:rPr>
          <w:rFonts w:cs="Open Sans"/>
          <w:color w:val="000000"/>
          <w:shd w:val="clear" w:color="auto" w:fill="FFFFFF"/>
        </w:rPr>
        <w:t>F</w:t>
      </w:r>
      <w:r w:rsidR="003A2BCD" w:rsidRPr="00A3192C">
        <w:rPr>
          <w:rFonts w:cs="Open Sans"/>
          <w:color w:val="000000"/>
          <w:shd w:val="clear" w:color="auto" w:fill="FFFFFF"/>
        </w:rPr>
        <w:t>inanceiro, que possui nova metodologia de apuração</w:t>
      </w:r>
      <w:r w:rsidR="00DE04A2" w:rsidRPr="0075050E">
        <w:rPr>
          <w:rFonts w:cs="Open Sans"/>
          <w:color w:val="000000"/>
          <w:shd w:val="clear" w:color="auto" w:fill="FFFFFF"/>
          <w:vertAlign w:val="superscript"/>
        </w:rPr>
        <w:footnoteReference w:id="4"/>
      </w:r>
      <w:r w:rsidR="003A2BCD" w:rsidRPr="00A3192C">
        <w:rPr>
          <w:rFonts w:cs="Open Sans"/>
          <w:color w:val="000000"/>
          <w:shd w:val="clear" w:color="auto" w:fill="FFFFFF"/>
        </w:rPr>
        <w:t>, e cujos números apurados encontram-se na tabela XIV.</w:t>
      </w:r>
      <w:r w:rsidR="0075050E">
        <w:rPr>
          <w:rFonts w:cs="Open Sans"/>
          <w:color w:val="000000"/>
          <w:shd w:val="clear" w:color="auto" w:fill="FFFFFF"/>
        </w:rPr>
        <w:t>16</w:t>
      </w:r>
      <w:r w:rsidR="003A2BCD" w:rsidRPr="00A3192C">
        <w:rPr>
          <w:rFonts w:cs="Open Sans"/>
          <w:color w:val="000000"/>
          <w:shd w:val="clear" w:color="auto" w:fill="FFFFFF"/>
        </w:rPr>
        <w:t>.</w:t>
      </w:r>
    </w:p>
    <w:p w14:paraId="0112A097" w14:textId="3AF6F2F8" w:rsidR="003240AF" w:rsidRPr="00C17465" w:rsidRDefault="003240AF" w:rsidP="00983C5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17" w:name="_Toc525894877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lastRenderedPageBreak/>
        <w:t>Tabela XIV.</w:t>
      </w:r>
      <w:r w:rsidR="0075050E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16</w:t>
      </w:r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- Resultado Financeiro dos RPPS dos Estados, Distrito Federal e Municípios, 2017</w:t>
      </w:r>
      <w:bookmarkEnd w:id="17"/>
    </w:p>
    <w:p w14:paraId="42A772E8" w14:textId="77777777" w:rsidR="003240AF" w:rsidRPr="008720AB" w:rsidRDefault="003240AF" w:rsidP="003240AF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noProof/>
          <w:lang w:eastAsia="pt-BR"/>
        </w:rPr>
        <w:drawing>
          <wp:inline distT="0" distB="0" distL="0" distR="0" wp14:anchorId="3EBF5C39" wp14:editId="4319DF91">
            <wp:extent cx="2749550" cy="726440"/>
            <wp:effectExtent l="0" t="0" r="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01503" w14:textId="77777777" w:rsidR="003240AF" w:rsidRPr="008720AB" w:rsidRDefault="003240AF" w:rsidP="003240AF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0E96CDCA" w14:textId="45196981" w:rsidR="00DE04A2" w:rsidRDefault="0015376F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0F4CC6">
        <w:rPr>
          <w:rFonts w:cs="Open Sans"/>
          <w:color w:val="000000"/>
          <w:shd w:val="clear" w:color="auto" w:fill="FFFFFF"/>
        </w:rPr>
        <w:t>O gráfico XIV.0</w:t>
      </w:r>
      <w:r w:rsidR="000F4CC6">
        <w:rPr>
          <w:rFonts w:cs="Open Sans"/>
          <w:color w:val="000000"/>
          <w:shd w:val="clear" w:color="auto" w:fill="FFFFFF"/>
        </w:rPr>
        <w:t>8</w:t>
      </w:r>
      <w:r w:rsidRPr="000F4CC6">
        <w:rPr>
          <w:rFonts w:cs="Open Sans"/>
          <w:color w:val="000000"/>
          <w:shd w:val="clear" w:color="auto" w:fill="FFFFFF"/>
        </w:rPr>
        <w:t xml:space="preserve"> traz a representação visual </w:t>
      </w:r>
      <w:r w:rsidR="00D62CFA" w:rsidRPr="000F4CC6">
        <w:rPr>
          <w:rFonts w:cs="Open Sans"/>
          <w:color w:val="000000"/>
          <w:shd w:val="clear" w:color="auto" w:fill="FFFFFF"/>
        </w:rPr>
        <w:t>da evolução do Resultado Previdenciário no período de 2007 a 2016, reproduzindo o</w:t>
      </w:r>
      <w:r w:rsidR="00105853" w:rsidRPr="000F4CC6">
        <w:rPr>
          <w:rFonts w:cs="Open Sans"/>
          <w:color w:val="000000"/>
          <w:shd w:val="clear" w:color="auto" w:fill="FFFFFF"/>
        </w:rPr>
        <w:t xml:space="preserve">s </w:t>
      </w:r>
      <w:r w:rsidR="00D62CFA" w:rsidRPr="000F4CC6">
        <w:rPr>
          <w:rFonts w:cs="Open Sans"/>
          <w:color w:val="000000"/>
          <w:shd w:val="clear" w:color="auto" w:fill="FFFFFF"/>
        </w:rPr>
        <w:t>tota</w:t>
      </w:r>
      <w:r w:rsidR="00105853" w:rsidRPr="000F4CC6">
        <w:rPr>
          <w:rFonts w:cs="Open Sans"/>
          <w:color w:val="000000"/>
          <w:shd w:val="clear" w:color="auto" w:fill="FFFFFF"/>
        </w:rPr>
        <w:t>is</w:t>
      </w:r>
      <w:r w:rsidR="00D62CFA" w:rsidRPr="000F4CC6">
        <w:rPr>
          <w:rFonts w:cs="Open Sans"/>
          <w:color w:val="000000"/>
          <w:shd w:val="clear" w:color="auto" w:fill="FFFFFF"/>
        </w:rPr>
        <w:t xml:space="preserve"> demonstrado</w:t>
      </w:r>
      <w:r w:rsidR="00105853" w:rsidRPr="000F4CC6">
        <w:rPr>
          <w:rFonts w:cs="Open Sans"/>
          <w:color w:val="000000"/>
          <w:shd w:val="clear" w:color="auto" w:fill="FFFFFF"/>
        </w:rPr>
        <w:t>s</w:t>
      </w:r>
      <w:r w:rsidR="00D62CFA" w:rsidRPr="000F4CC6">
        <w:rPr>
          <w:rFonts w:cs="Open Sans"/>
          <w:color w:val="000000"/>
          <w:shd w:val="clear" w:color="auto" w:fill="FFFFFF"/>
        </w:rPr>
        <w:t xml:space="preserve"> na tabela XIV.07 para Estados, Distrito Federal, Capitais e Municípios.</w:t>
      </w:r>
    </w:p>
    <w:p w14:paraId="3F053CFD" w14:textId="542A1F8A" w:rsidR="004F5C86" w:rsidRPr="00C17465" w:rsidRDefault="004F5C86" w:rsidP="004F5C86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18" w:name="_Toc525894878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Gráfico XIV.08 - Resultado Previdenciário dos RPPS dos Estados, Distrito Federal e Municípios</w:t>
      </w:r>
      <w:bookmarkEnd w:id="18"/>
    </w:p>
    <w:p w14:paraId="0B980BDB" w14:textId="4E5EC1B7" w:rsidR="004F5C86" w:rsidRPr="008720AB" w:rsidRDefault="004F5C86" w:rsidP="004F5C86">
      <w:pPr>
        <w:spacing w:after="60"/>
        <w:jc w:val="center"/>
        <w:rPr>
          <w:rFonts w:cs="Open Sans"/>
          <w:color w:val="000000"/>
          <w:shd w:val="clear" w:color="auto" w:fill="FFFFFF"/>
        </w:rPr>
      </w:pPr>
      <w:r>
        <w:rPr>
          <w:rFonts w:cs="Open Sans"/>
          <w:noProof/>
          <w:color w:val="000000"/>
          <w:shd w:val="clear" w:color="auto" w:fill="FFFFFF"/>
          <w:lang w:eastAsia="pt-BR"/>
        </w:rPr>
        <w:drawing>
          <wp:inline distT="0" distB="0" distL="0" distR="0" wp14:anchorId="40091C80" wp14:editId="3C6932F8">
            <wp:extent cx="5400000" cy="3733200"/>
            <wp:effectExtent l="0" t="0" r="0" b="0"/>
            <wp:docPr id="57" name="Imagem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73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F5C86">
        <w:rPr>
          <w:rFonts w:cs="Open Sans"/>
          <w:color w:val="000000"/>
          <w:shd w:val="clear" w:color="auto" w:fill="FFFFFF"/>
        </w:rPr>
        <w:t xml:space="preserve"> </w:t>
      </w:r>
    </w:p>
    <w:p w14:paraId="630B94F7" w14:textId="77777777" w:rsidR="004F5C86" w:rsidRPr="008720AB" w:rsidRDefault="004F5C86" w:rsidP="004F5C86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6E94621C" w14:textId="77777777" w:rsidR="008F483A" w:rsidRDefault="008F483A">
      <w:pPr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br w:type="page"/>
      </w:r>
    </w:p>
    <w:p w14:paraId="61DA7D90" w14:textId="01FA5078" w:rsidR="00130FD0" w:rsidRPr="008720AB" w:rsidRDefault="00130FD0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lastRenderedPageBreak/>
        <w:t>O gráfico XIV.</w:t>
      </w:r>
      <w:r w:rsidR="000F4CC6">
        <w:rPr>
          <w:rFonts w:cs="Open Sans"/>
          <w:color w:val="000000"/>
          <w:shd w:val="clear" w:color="auto" w:fill="FFFFFF"/>
        </w:rPr>
        <w:t>09</w:t>
      </w:r>
      <w:r w:rsidRPr="008720AB">
        <w:rPr>
          <w:rFonts w:cs="Open Sans"/>
          <w:color w:val="000000"/>
          <w:shd w:val="clear" w:color="auto" w:fill="FFFFFF"/>
        </w:rPr>
        <w:t xml:space="preserve"> </w:t>
      </w:r>
      <w:r w:rsidR="000E08F2" w:rsidRPr="008720AB">
        <w:rPr>
          <w:rFonts w:cs="Open Sans"/>
          <w:color w:val="000000"/>
          <w:shd w:val="clear" w:color="auto" w:fill="FFFFFF"/>
        </w:rPr>
        <w:t>a</w:t>
      </w:r>
      <w:r w:rsidRPr="008720AB">
        <w:rPr>
          <w:rFonts w:cs="Open Sans"/>
          <w:color w:val="000000"/>
          <w:shd w:val="clear" w:color="auto" w:fill="FFFFFF"/>
        </w:rPr>
        <w:t>presenta</w:t>
      </w:r>
      <w:r w:rsidR="00A41927" w:rsidRPr="008720AB">
        <w:rPr>
          <w:rFonts w:cs="Open Sans"/>
          <w:color w:val="000000"/>
          <w:shd w:val="clear" w:color="auto" w:fill="FFFFFF"/>
        </w:rPr>
        <w:t xml:space="preserve"> </w:t>
      </w:r>
      <w:r w:rsidRPr="008720AB">
        <w:rPr>
          <w:rFonts w:cs="Open Sans"/>
          <w:color w:val="000000"/>
          <w:shd w:val="clear" w:color="auto" w:fill="FFFFFF"/>
        </w:rPr>
        <w:t xml:space="preserve">a evolução do Resultado </w:t>
      </w:r>
      <w:r w:rsidR="0044027B" w:rsidRPr="008720AB">
        <w:rPr>
          <w:rFonts w:cs="Open Sans"/>
          <w:color w:val="000000"/>
          <w:shd w:val="clear" w:color="auto" w:fill="FFFFFF"/>
        </w:rPr>
        <w:t>Financeiro do RPPS da União</w:t>
      </w:r>
      <w:r w:rsidR="000E08F2" w:rsidRPr="008720AB">
        <w:rPr>
          <w:rFonts w:cs="Open Sans"/>
          <w:color w:val="000000"/>
          <w:shd w:val="clear" w:color="auto" w:fill="FFFFFF"/>
        </w:rPr>
        <w:t xml:space="preserve"> (somatório de servidores civis</w:t>
      </w:r>
      <w:r w:rsidR="00346F3A" w:rsidRPr="008720AB">
        <w:rPr>
          <w:rFonts w:cs="Open Sans"/>
          <w:color w:val="000000"/>
          <w:shd w:val="clear" w:color="auto" w:fill="FFFFFF"/>
        </w:rPr>
        <w:t xml:space="preserve"> e militares), </w:t>
      </w:r>
      <w:r w:rsidR="0044027B" w:rsidRPr="008720AB">
        <w:rPr>
          <w:rFonts w:cs="Open Sans"/>
          <w:color w:val="000000"/>
          <w:shd w:val="clear" w:color="auto" w:fill="FFFFFF"/>
        </w:rPr>
        <w:t xml:space="preserve">no período de 2007 a 2017, </w:t>
      </w:r>
      <w:r w:rsidR="000E08F2" w:rsidRPr="008720AB">
        <w:rPr>
          <w:rFonts w:cs="Open Sans"/>
          <w:color w:val="000000"/>
          <w:shd w:val="clear" w:color="auto" w:fill="FFFFFF"/>
        </w:rPr>
        <w:t xml:space="preserve">cujo detalhamento encontra-se na tabela </w:t>
      </w:r>
      <w:r w:rsidR="008648DA">
        <w:rPr>
          <w:rFonts w:cs="Open Sans"/>
          <w:color w:val="000000"/>
          <w:shd w:val="clear" w:color="auto" w:fill="FFFFFF"/>
        </w:rPr>
        <w:t>1</w:t>
      </w:r>
      <w:r w:rsidR="000E08F2" w:rsidRPr="008720AB">
        <w:rPr>
          <w:rFonts w:cs="Open Sans"/>
          <w:color w:val="000000"/>
          <w:shd w:val="clear" w:color="auto" w:fill="FFFFFF"/>
        </w:rPr>
        <w:t>.10</w:t>
      </w:r>
      <w:r w:rsidR="008648DA">
        <w:rPr>
          <w:rFonts w:cs="Open Sans"/>
          <w:color w:val="000000"/>
          <w:shd w:val="clear" w:color="auto" w:fill="FFFFFF"/>
        </w:rPr>
        <w:t xml:space="preserve"> do Suplemento</w:t>
      </w:r>
      <w:r w:rsidR="000E08F2" w:rsidRPr="008720AB">
        <w:rPr>
          <w:rFonts w:cs="Open Sans"/>
          <w:color w:val="000000"/>
          <w:shd w:val="clear" w:color="auto" w:fill="FFFFFF"/>
        </w:rPr>
        <w:t>.</w:t>
      </w:r>
    </w:p>
    <w:p w14:paraId="252FF76A" w14:textId="45ED10DD" w:rsidR="000F4CC6" w:rsidRPr="00371E88" w:rsidRDefault="000F4CC6" w:rsidP="000F4CC6">
      <w:pPr>
        <w:pStyle w:val="Ttulo2"/>
        <w:spacing w:before="240" w:after="60"/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</w:pPr>
      <w:bookmarkStart w:id="19" w:name="_Toc525894879"/>
      <w:r w:rsidRPr="00371E88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  <w:t xml:space="preserve">Gráfico XIV.09 </w:t>
      </w:r>
      <w:r w:rsidR="00116366" w:rsidRPr="00371E88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  <w:t>-</w:t>
      </w:r>
      <w:r w:rsidRPr="00371E88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  <w:t xml:space="preserve"> </w:t>
      </w:r>
      <w:r w:rsidR="00116366" w:rsidRPr="00371E88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  <w:t>Evolução do Resultado Financeiro da União</w:t>
      </w:r>
      <w:bookmarkEnd w:id="19"/>
    </w:p>
    <w:p w14:paraId="419AD06A" w14:textId="4425A606" w:rsidR="00130FD0" w:rsidRPr="008720AB" w:rsidRDefault="00116366" w:rsidP="00130FD0">
      <w:pPr>
        <w:spacing w:after="60"/>
        <w:jc w:val="center"/>
        <w:rPr>
          <w:rFonts w:cs="Open Sans"/>
          <w:color w:val="000000"/>
          <w:sz w:val="16"/>
          <w:szCs w:val="16"/>
          <w:shd w:val="clear" w:color="auto" w:fill="FFFFFF"/>
        </w:rPr>
      </w:pPr>
      <w:r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7862C4E1" wp14:editId="2AD52B76">
            <wp:extent cx="5400000" cy="3736800"/>
            <wp:effectExtent l="0" t="0" r="0" b="0"/>
            <wp:docPr id="52" name="Image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73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A36FD" w14:textId="77777777" w:rsidR="00130FD0" w:rsidRPr="008720AB" w:rsidRDefault="00130FD0" w:rsidP="00130FD0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612B671C" w14:textId="79A67E3A" w:rsidR="001E08DE" w:rsidRPr="008720AB" w:rsidRDefault="001E08DE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A tabela XIV.</w:t>
      </w:r>
      <w:r w:rsidR="00550E3E" w:rsidRPr="008720AB">
        <w:rPr>
          <w:rFonts w:cs="Open Sans"/>
          <w:color w:val="000000"/>
          <w:shd w:val="clear" w:color="auto" w:fill="FFFFFF"/>
        </w:rPr>
        <w:t>1</w:t>
      </w:r>
      <w:r w:rsidR="00116366">
        <w:rPr>
          <w:rFonts w:cs="Open Sans"/>
          <w:color w:val="000000"/>
          <w:shd w:val="clear" w:color="auto" w:fill="FFFFFF"/>
        </w:rPr>
        <w:t>7</w:t>
      </w:r>
      <w:r w:rsidRPr="008720AB">
        <w:rPr>
          <w:rFonts w:cs="Open Sans"/>
          <w:color w:val="000000"/>
          <w:shd w:val="clear" w:color="auto" w:fill="FFFFFF"/>
        </w:rPr>
        <w:t xml:space="preserve"> mostra a evolução do Resultado </w:t>
      </w:r>
      <w:r w:rsidR="00550E3E" w:rsidRPr="008720AB">
        <w:rPr>
          <w:rFonts w:cs="Open Sans"/>
          <w:color w:val="000000"/>
          <w:shd w:val="clear" w:color="auto" w:fill="FFFFFF"/>
        </w:rPr>
        <w:t xml:space="preserve">Atuarial </w:t>
      </w:r>
      <w:r w:rsidRPr="008720AB">
        <w:rPr>
          <w:rFonts w:cs="Open Sans"/>
          <w:color w:val="000000"/>
          <w:shd w:val="clear" w:color="auto" w:fill="FFFFFF"/>
        </w:rPr>
        <w:t>dos RPPS, no período de 20</w:t>
      </w:r>
      <w:r w:rsidR="00550E3E" w:rsidRPr="008720AB">
        <w:rPr>
          <w:rFonts w:cs="Open Sans"/>
          <w:color w:val="000000"/>
          <w:shd w:val="clear" w:color="auto" w:fill="FFFFFF"/>
        </w:rPr>
        <w:t>11</w:t>
      </w:r>
      <w:r w:rsidRPr="008720AB">
        <w:rPr>
          <w:rFonts w:cs="Open Sans"/>
          <w:color w:val="000000"/>
          <w:shd w:val="clear" w:color="auto" w:fill="FFFFFF"/>
        </w:rPr>
        <w:t xml:space="preserve"> a 201</w:t>
      </w:r>
      <w:r w:rsidR="00550E3E" w:rsidRPr="008720AB">
        <w:rPr>
          <w:rFonts w:cs="Open Sans"/>
          <w:color w:val="000000"/>
          <w:shd w:val="clear" w:color="auto" w:fill="FFFFFF"/>
        </w:rPr>
        <w:t>8</w:t>
      </w:r>
      <w:r w:rsidRPr="008720AB">
        <w:rPr>
          <w:rFonts w:cs="Open Sans"/>
          <w:color w:val="000000"/>
          <w:shd w:val="clear" w:color="auto" w:fill="FFFFFF"/>
        </w:rPr>
        <w:t xml:space="preserve">, </w:t>
      </w:r>
      <w:r w:rsidR="00550E3E" w:rsidRPr="008720AB">
        <w:rPr>
          <w:rFonts w:cs="Open Sans"/>
          <w:color w:val="000000"/>
          <w:shd w:val="clear" w:color="auto" w:fill="FFFFFF"/>
        </w:rPr>
        <w:t xml:space="preserve">para a União, </w:t>
      </w:r>
      <w:r w:rsidRPr="008720AB">
        <w:rPr>
          <w:rFonts w:cs="Open Sans"/>
          <w:color w:val="000000"/>
          <w:shd w:val="clear" w:color="auto" w:fill="FFFFFF"/>
        </w:rPr>
        <w:t>Estados/Distrito Federal</w:t>
      </w:r>
      <w:r w:rsidR="00550E3E" w:rsidRPr="008720AB">
        <w:rPr>
          <w:rFonts w:cs="Open Sans"/>
          <w:color w:val="000000"/>
          <w:shd w:val="clear" w:color="auto" w:fill="FFFFFF"/>
        </w:rPr>
        <w:t xml:space="preserve"> </w:t>
      </w:r>
      <w:r w:rsidRPr="008720AB">
        <w:rPr>
          <w:rFonts w:cs="Open Sans"/>
          <w:color w:val="000000"/>
          <w:shd w:val="clear" w:color="auto" w:fill="FFFFFF"/>
        </w:rPr>
        <w:t>e Municípios.</w:t>
      </w:r>
    </w:p>
    <w:p w14:paraId="6310E2C1" w14:textId="504FA24B" w:rsidR="00F16492" w:rsidRPr="00371E88" w:rsidRDefault="00F16492" w:rsidP="00983C51">
      <w:pPr>
        <w:pStyle w:val="Ttulo2"/>
        <w:spacing w:before="240" w:after="60"/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</w:pPr>
      <w:bookmarkStart w:id="20" w:name="_Toc525894880"/>
      <w:r w:rsidRPr="00371E88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  <w:t>Tabela XIV.1</w:t>
      </w:r>
      <w:r w:rsidR="0048341C" w:rsidRPr="00371E88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  <w:t>7</w:t>
      </w:r>
      <w:r w:rsidRPr="00371E88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  <w:t xml:space="preserve"> - Resultado Atuarial dos RPPS (Evolução 2011 a 2017) </w:t>
      </w:r>
      <w:r w:rsidR="003A42A1" w:rsidRPr="00371E88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  <w:t>-</w:t>
      </w:r>
      <w:r w:rsidRPr="00371E88">
        <w:rPr>
          <w:rFonts w:asciiTheme="minorHAnsi" w:hAnsiTheme="minorHAnsi"/>
          <w:color w:val="000000" w:themeColor="text1"/>
          <w:sz w:val="20"/>
          <w:szCs w:val="20"/>
          <w:shd w:val="clear" w:color="auto" w:fill="FFFFFF"/>
        </w:rPr>
        <w:t xml:space="preserve"> em R$ bilhões</w:t>
      </w:r>
      <w:bookmarkEnd w:id="20"/>
    </w:p>
    <w:p w14:paraId="19D7EF9D" w14:textId="09199CDD" w:rsidR="00F16492" w:rsidRPr="008720AB" w:rsidRDefault="00582F13" w:rsidP="00F16492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582F13">
        <w:rPr>
          <w:noProof/>
          <w:lang w:eastAsia="pt-BR"/>
        </w:rPr>
        <w:drawing>
          <wp:inline distT="0" distB="0" distL="0" distR="0" wp14:anchorId="77F9C2DA" wp14:editId="2FAB4EB0">
            <wp:extent cx="6188710" cy="848297"/>
            <wp:effectExtent l="0" t="0" r="2540" b="952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48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6492" w:rsidRPr="008720AB">
        <w:rPr>
          <w:rFonts w:cs="Open Sans"/>
          <w:color w:val="000000"/>
          <w:sz w:val="16"/>
          <w:szCs w:val="16"/>
          <w:shd w:val="clear" w:color="auto" w:fill="FFFFFF"/>
        </w:rPr>
        <w:t xml:space="preserve"> Fonte: SRPPS/SPREV/MF - CADPREV (extração em 30/04/2018)</w:t>
      </w:r>
    </w:p>
    <w:p w14:paraId="7A21686E" w14:textId="7EBAA605" w:rsidR="00E57697" w:rsidRPr="008720AB" w:rsidRDefault="00E57697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t>No gráfico XIV.1</w:t>
      </w:r>
      <w:r w:rsidR="00116366">
        <w:rPr>
          <w:rFonts w:cs="Open Sans"/>
          <w:color w:val="000000"/>
          <w:shd w:val="clear" w:color="auto" w:fill="FFFFFF"/>
        </w:rPr>
        <w:t>0</w:t>
      </w:r>
      <w:r w:rsidRPr="008720AB">
        <w:rPr>
          <w:rFonts w:cs="Open Sans"/>
          <w:color w:val="000000"/>
          <w:shd w:val="clear" w:color="auto" w:fill="FFFFFF"/>
        </w:rPr>
        <w:t xml:space="preserve"> encontra-se a representação visual da evolução do Resultado Atuarial no período de 2011 a 2018, reproduzindo os totais demonstrados na tabela XIV.10 para a União, Estados/Distrito Federal e Municípios.</w:t>
      </w:r>
    </w:p>
    <w:p w14:paraId="4C2B644A" w14:textId="5AB1F0E3" w:rsidR="00116366" w:rsidRPr="00C17465" w:rsidRDefault="00116366" w:rsidP="00116366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21" w:name="_Toc525894881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lastRenderedPageBreak/>
        <w:t>Gráfico XIV.10 - Evolução do Resultado Atuarial por Tipo de RPPS - em R$ bilhões</w:t>
      </w:r>
      <w:bookmarkEnd w:id="21"/>
    </w:p>
    <w:p w14:paraId="162B4CA6" w14:textId="4C2118B5" w:rsidR="00F16492" w:rsidRPr="008720AB" w:rsidRDefault="00116366" w:rsidP="00F16492">
      <w:pPr>
        <w:spacing w:after="60"/>
        <w:jc w:val="center"/>
        <w:rPr>
          <w:rFonts w:cs="Open Sans"/>
          <w:color w:val="000000"/>
          <w:sz w:val="16"/>
          <w:szCs w:val="16"/>
          <w:shd w:val="clear" w:color="auto" w:fill="FFFFFF"/>
        </w:rPr>
      </w:pPr>
      <w:r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52E31609" wp14:editId="4EF11FC3">
            <wp:extent cx="5400000" cy="3736799"/>
            <wp:effectExtent l="0" t="0" r="0" b="0"/>
            <wp:docPr id="53" name="Image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7367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16492" w:rsidRPr="008720AB">
        <w:rPr>
          <w:rFonts w:cs="Open Sans"/>
          <w:color w:val="000000"/>
          <w:sz w:val="16"/>
          <w:szCs w:val="16"/>
          <w:shd w:val="clear" w:color="auto" w:fill="FFFFFF"/>
        </w:rPr>
        <w:t xml:space="preserve"> </w:t>
      </w:r>
    </w:p>
    <w:p w14:paraId="162840DE" w14:textId="77777777" w:rsidR="00F16492" w:rsidRPr="008720AB" w:rsidRDefault="00F16492" w:rsidP="00F16492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300D1310" w14:textId="25A0DB79" w:rsidR="00672E62" w:rsidRPr="008720AB" w:rsidRDefault="004C64D4" w:rsidP="00171E61">
      <w:pPr>
        <w:spacing w:before="240" w:after="240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ab/>
      </w:r>
      <w:r w:rsidR="00672E62" w:rsidRPr="008720AB">
        <w:rPr>
          <w:rFonts w:cs="Open Sans"/>
          <w:color w:val="000000"/>
          <w:shd w:val="clear" w:color="auto" w:fill="FFFFFF"/>
        </w:rPr>
        <w:t xml:space="preserve">O gráfico XIV.11 apresenta a evolução dos Ativos Totais </w:t>
      </w:r>
      <w:r w:rsidR="00A6584D" w:rsidRPr="008720AB">
        <w:rPr>
          <w:rFonts w:cs="Open Sans"/>
          <w:color w:val="000000"/>
          <w:shd w:val="clear" w:color="auto" w:fill="FFFFFF"/>
        </w:rPr>
        <w:t>(aplicações e disponibilidades financeiras, imóveis e demais bens, direitos e ativos)</w:t>
      </w:r>
      <w:r w:rsidR="00C50992" w:rsidRPr="008720AB">
        <w:rPr>
          <w:rFonts w:cs="Open Sans"/>
          <w:color w:val="000000"/>
          <w:shd w:val="clear" w:color="auto" w:fill="FFFFFF"/>
        </w:rPr>
        <w:t xml:space="preserve"> dos Estados, Distrito Federal e Municípios, no período de 2007 a 2017.</w:t>
      </w:r>
    </w:p>
    <w:p w14:paraId="3DE9DED8" w14:textId="4C4D1F2F" w:rsidR="00867FF2" w:rsidRPr="00C17465" w:rsidRDefault="00867FF2" w:rsidP="00171E61">
      <w:pPr>
        <w:pStyle w:val="Ttulo2"/>
        <w:spacing w:before="12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22" w:name="_Toc525894882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Gráfico XIV.11 - Evolução dos Ativos Totais dos RPPS em R$</w:t>
      </w:r>
      <w:bookmarkEnd w:id="22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</w:t>
      </w:r>
    </w:p>
    <w:p w14:paraId="0C654145" w14:textId="27132FB3" w:rsidR="004A5E76" w:rsidRPr="008720AB" w:rsidRDefault="00867FF2" w:rsidP="004A5E76">
      <w:pPr>
        <w:spacing w:after="60"/>
        <w:jc w:val="center"/>
        <w:rPr>
          <w:rFonts w:cs="Open Sans"/>
          <w:color w:val="000000"/>
          <w:sz w:val="16"/>
          <w:szCs w:val="16"/>
          <w:shd w:val="clear" w:color="auto" w:fill="FFFFFF"/>
        </w:rPr>
      </w:pPr>
      <w:r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343D9F03" wp14:editId="135C6A23">
            <wp:extent cx="4680000" cy="3238559"/>
            <wp:effectExtent l="0" t="0" r="0" b="0"/>
            <wp:docPr id="54" name="Image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2385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A5E76" w:rsidRPr="008720AB">
        <w:rPr>
          <w:rFonts w:cs="Open Sans"/>
          <w:color w:val="000000"/>
          <w:sz w:val="16"/>
          <w:szCs w:val="16"/>
          <w:shd w:val="clear" w:color="auto" w:fill="FFFFFF"/>
        </w:rPr>
        <w:t xml:space="preserve"> </w:t>
      </w:r>
    </w:p>
    <w:p w14:paraId="2385BB1A" w14:textId="77777777" w:rsidR="004A5E76" w:rsidRPr="008720AB" w:rsidRDefault="004A5E76" w:rsidP="004A5E76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7D92BA6D" w14:textId="337EE7C6" w:rsidR="00BF068A" w:rsidRDefault="00F1029D" w:rsidP="00A3192C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 w:rsidRPr="008720AB">
        <w:rPr>
          <w:rFonts w:cs="Open Sans"/>
          <w:color w:val="000000"/>
          <w:shd w:val="clear" w:color="auto" w:fill="FFFFFF"/>
        </w:rPr>
        <w:lastRenderedPageBreak/>
        <w:t xml:space="preserve">A tabela </w:t>
      </w:r>
      <w:r w:rsidR="00D46477" w:rsidRPr="008720AB">
        <w:rPr>
          <w:rFonts w:cs="Open Sans"/>
          <w:color w:val="000000"/>
          <w:shd w:val="clear" w:color="auto" w:fill="FFFFFF"/>
        </w:rPr>
        <w:t>XIV.</w:t>
      </w:r>
      <w:r w:rsidR="00867FF2">
        <w:rPr>
          <w:rFonts w:cs="Open Sans"/>
          <w:color w:val="000000"/>
          <w:shd w:val="clear" w:color="auto" w:fill="FFFFFF"/>
        </w:rPr>
        <w:t>18</w:t>
      </w:r>
      <w:r w:rsidR="00D46477" w:rsidRPr="008720AB">
        <w:rPr>
          <w:rFonts w:cs="Open Sans"/>
          <w:color w:val="000000"/>
          <w:shd w:val="clear" w:color="auto" w:fill="FFFFFF"/>
        </w:rPr>
        <w:t xml:space="preserve"> </w:t>
      </w:r>
      <w:r w:rsidRPr="008720AB">
        <w:rPr>
          <w:rFonts w:cs="Open Sans"/>
          <w:color w:val="000000"/>
          <w:shd w:val="clear" w:color="auto" w:fill="FFFFFF"/>
        </w:rPr>
        <w:t>detalha a distribuição dos Ativos Totais dos RPPS</w:t>
      </w:r>
      <w:r w:rsidR="00026A20" w:rsidRPr="008720AB">
        <w:rPr>
          <w:rFonts w:cs="Open Sans"/>
          <w:color w:val="000000"/>
          <w:shd w:val="clear" w:color="auto" w:fill="FFFFFF"/>
        </w:rPr>
        <w:t xml:space="preserve">, no final de 2017, entre os Estados/Distrito Federal, Capitais e Demais Municípios, </w:t>
      </w:r>
      <w:r w:rsidRPr="008720AB">
        <w:rPr>
          <w:rFonts w:cs="Open Sans"/>
          <w:color w:val="000000"/>
          <w:shd w:val="clear" w:color="auto" w:fill="FFFFFF"/>
        </w:rPr>
        <w:t xml:space="preserve">em seus diferentes segmentos e modalidades, </w:t>
      </w:r>
      <w:r w:rsidR="00026A20" w:rsidRPr="008720AB">
        <w:rPr>
          <w:rFonts w:cs="Open Sans"/>
          <w:color w:val="000000"/>
          <w:shd w:val="clear" w:color="auto" w:fill="FFFFFF"/>
        </w:rPr>
        <w:t>agregando ainda os parcelamentos de débitos</w:t>
      </w:r>
      <w:r w:rsidR="00D46477" w:rsidRPr="008720AB">
        <w:rPr>
          <w:rFonts w:cs="Open Sans"/>
          <w:color w:val="000000"/>
          <w:shd w:val="clear" w:color="auto" w:fill="FFFFFF"/>
        </w:rPr>
        <w:t>.</w:t>
      </w:r>
      <w:r w:rsidR="00BF068A" w:rsidRPr="008720AB">
        <w:rPr>
          <w:rFonts w:cs="Open Sans"/>
          <w:color w:val="000000"/>
          <w:shd w:val="clear" w:color="auto" w:fill="FFFFFF"/>
        </w:rPr>
        <w:t xml:space="preserve"> Essa mesma distribuição é representada visualmente no gráfico XIV.12.</w:t>
      </w:r>
    </w:p>
    <w:p w14:paraId="0BF5AD7A" w14:textId="41C84465" w:rsidR="004A5E76" w:rsidRPr="00C17465" w:rsidRDefault="004A5E76" w:rsidP="00983C5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23" w:name="_Toc525894883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Tabela XIV.</w:t>
      </w:r>
      <w:r w:rsidR="00867FF2"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18</w:t>
      </w:r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- Ativos dos RPPS dos Estados, Distrito Federal e Municípios, 2017</w:t>
      </w:r>
      <w:bookmarkEnd w:id="23"/>
    </w:p>
    <w:p w14:paraId="6B0CDE3C" w14:textId="77777777" w:rsidR="004A5E76" w:rsidRPr="008720AB" w:rsidRDefault="004A5E76" w:rsidP="004A5E76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noProof/>
          <w:lang w:eastAsia="pt-BR"/>
        </w:rPr>
        <w:drawing>
          <wp:inline distT="0" distB="0" distL="0" distR="0" wp14:anchorId="20B945E0" wp14:editId="42D40180">
            <wp:extent cx="6019800" cy="3527302"/>
            <wp:effectExtent l="0" t="0" r="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847" cy="353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6977C" w14:textId="77777777" w:rsidR="004A5E76" w:rsidRPr="008720AB" w:rsidRDefault="004A5E76" w:rsidP="004A5E76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50113931" w14:textId="50E86F2C" w:rsidR="00C679F1" w:rsidRPr="00C17465" w:rsidRDefault="00C679F1" w:rsidP="00C679F1">
      <w:pPr>
        <w:pStyle w:val="Ttulo2"/>
        <w:spacing w:before="240" w:after="60"/>
        <w:rPr>
          <w:rFonts w:asciiTheme="minorHAnsi" w:hAnsiTheme="minorHAnsi"/>
          <w:color w:val="auto"/>
          <w:sz w:val="20"/>
          <w:szCs w:val="20"/>
          <w:shd w:val="clear" w:color="auto" w:fill="FFFFFF"/>
        </w:rPr>
      </w:pPr>
      <w:bookmarkStart w:id="24" w:name="_Toc525824751"/>
      <w:bookmarkStart w:id="25" w:name="_Toc525894884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>Gráfico XIV.12 - Distribuição dos Ativos e Parcelamentos por Tipo de Ente em R$ milhões</w:t>
      </w:r>
      <w:bookmarkEnd w:id="24"/>
      <w:bookmarkEnd w:id="25"/>
      <w:r w:rsidRPr="00C17465">
        <w:rPr>
          <w:rFonts w:asciiTheme="minorHAnsi" w:hAnsiTheme="minorHAnsi"/>
          <w:color w:val="auto"/>
          <w:sz w:val="20"/>
          <w:szCs w:val="20"/>
          <w:shd w:val="clear" w:color="auto" w:fill="FFFFFF"/>
        </w:rPr>
        <w:t xml:space="preserve"> </w:t>
      </w:r>
    </w:p>
    <w:p w14:paraId="12161DBE" w14:textId="20B2A18B" w:rsidR="004A5E76" w:rsidRPr="008720AB" w:rsidRDefault="004A5E76" w:rsidP="004A5E76">
      <w:pPr>
        <w:spacing w:after="60"/>
        <w:jc w:val="center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 xml:space="preserve"> </w:t>
      </w:r>
      <w:r w:rsidR="00C679F1">
        <w:rPr>
          <w:rFonts w:cs="Open Sans"/>
          <w:noProof/>
          <w:color w:val="000000"/>
          <w:sz w:val="16"/>
          <w:szCs w:val="16"/>
          <w:shd w:val="clear" w:color="auto" w:fill="FFFFFF"/>
          <w:lang w:eastAsia="pt-BR"/>
        </w:rPr>
        <w:drawing>
          <wp:inline distT="0" distB="0" distL="0" distR="0" wp14:anchorId="412655D2" wp14:editId="207E34A5">
            <wp:extent cx="4930140" cy="3411657"/>
            <wp:effectExtent l="0" t="0" r="3810" b="0"/>
            <wp:docPr id="55" name="Image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851" cy="34287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7FB413" w14:textId="77777777" w:rsidR="004A5E76" w:rsidRPr="008720AB" w:rsidRDefault="004A5E76" w:rsidP="004A5E76">
      <w:pPr>
        <w:spacing w:after="60"/>
        <w:rPr>
          <w:rFonts w:cs="Open Sans"/>
          <w:color w:val="000000"/>
          <w:sz w:val="16"/>
          <w:szCs w:val="16"/>
          <w:shd w:val="clear" w:color="auto" w:fill="FFFFFF"/>
        </w:rPr>
      </w:pPr>
      <w:r w:rsidRPr="008720AB">
        <w:rPr>
          <w:rFonts w:cs="Open Sans"/>
          <w:color w:val="000000"/>
          <w:sz w:val="16"/>
          <w:szCs w:val="16"/>
          <w:shd w:val="clear" w:color="auto" w:fill="FFFFFF"/>
        </w:rPr>
        <w:t>Fonte: SRPPS/SPREV/MF - CADPREV (extração em 30/04/2018)</w:t>
      </w:r>
    </w:p>
    <w:p w14:paraId="66007E79" w14:textId="6CE38C7C" w:rsidR="0085344E" w:rsidRDefault="00343993" w:rsidP="00343993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lastRenderedPageBreak/>
        <w:t xml:space="preserve">Em complemento às informações divulgadas nesta Seção XIV e nas </w:t>
      </w:r>
      <w:r w:rsidR="00610E93">
        <w:rPr>
          <w:rFonts w:cs="Open Sans"/>
          <w:color w:val="000000"/>
          <w:shd w:val="clear" w:color="auto" w:fill="FFFFFF"/>
        </w:rPr>
        <w:t>t</w:t>
      </w:r>
      <w:r>
        <w:rPr>
          <w:rFonts w:cs="Open Sans"/>
          <w:color w:val="000000"/>
          <w:shd w:val="clear" w:color="auto" w:fill="FFFFFF"/>
        </w:rPr>
        <w:t xml:space="preserve">abelas </w:t>
      </w:r>
      <w:r w:rsidR="00610E93">
        <w:rPr>
          <w:rFonts w:cs="Open Sans"/>
          <w:color w:val="000000"/>
          <w:shd w:val="clear" w:color="auto" w:fill="FFFFFF"/>
        </w:rPr>
        <w:t xml:space="preserve">do </w:t>
      </w:r>
      <w:r w:rsidR="00967CB1">
        <w:rPr>
          <w:rFonts w:cs="Open Sans"/>
          <w:color w:val="000000"/>
          <w:shd w:val="clear" w:color="auto" w:fill="FFFFFF"/>
        </w:rPr>
        <w:t>Suplemento Previdência do Servidor Público</w:t>
      </w:r>
      <w:r>
        <w:rPr>
          <w:rFonts w:cs="Open Sans"/>
          <w:color w:val="000000"/>
          <w:shd w:val="clear" w:color="auto" w:fill="FFFFFF"/>
        </w:rPr>
        <w:t xml:space="preserve"> do Anuário Estatístico da Previdência Social - AEPS, os interessados em conhecer e acompanhar mais informações relativas aos RPPS podem recorrer às publicações semestrais </w:t>
      </w:r>
      <w:r w:rsidR="00F97249">
        <w:rPr>
          <w:rFonts w:cs="Open Sans"/>
          <w:color w:val="000000"/>
          <w:shd w:val="clear" w:color="auto" w:fill="FFFFFF"/>
        </w:rPr>
        <w:t>do Indicador de Situação Previdenciária (ISP-RPPS)</w:t>
      </w:r>
      <w:r w:rsidR="00F97249">
        <w:rPr>
          <w:rStyle w:val="Refdenotaderodap"/>
          <w:rFonts w:cs="Open Sans"/>
          <w:color w:val="000000"/>
          <w:shd w:val="clear" w:color="auto" w:fill="FFFFFF"/>
        </w:rPr>
        <w:footnoteReference w:id="5"/>
      </w:r>
      <w:r>
        <w:rPr>
          <w:rFonts w:cs="Open Sans"/>
          <w:color w:val="000000"/>
          <w:shd w:val="clear" w:color="auto" w:fill="FFFFFF"/>
        </w:rPr>
        <w:t xml:space="preserve"> e aos dados publicados na página de “Estatísticas e Informações dos RPPS”</w:t>
      </w:r>
      <w:r>
        <w:rPr>
          <w:rStyle w:val="Refdenotaderodap"/>
          <w:rFonts w:cs="Open Sans"/>
          <w:color w:val="000000"/>
          <w:shd w:val="clear" w:color="auto" w:fill="FFFFFF"/>
        </w:rPr>
        <w:footnoteReference w:id="6"/>
      </w:r>
      <w:r>
        <w:rPr>
          <w:rFonts w:cs="Open Sans"/>
          <w:color w:val="000000"/>
          <w:shd w:val="clear" w:color="auto" w:fill="FFFFFF"/>
        </w:rPr>
        <w:t>, disponíveis n</w:t>
      </w:r>
      <w:r w:rsidR="0085344E">
        <w:rPr>
          <w:rFonts w:cs="Open Sans"/>
          <w:color w:val="000000"/>
          <w:shd w:val="clear" w:color="auto" w:fill="FFFFFF"/>
        </w:rPr>
        <w:t xml:space="preserve">o endereço eletrônico da Secretaria de Previdência do Ministério da </w:t>
      </w:r>
      <w:r w:rsidR="00A52DB5">
        <w:rPr>
          <w:rFonts w:cs="Open Sans"/>
          <w:color w:val="000000"/>
          <w:shd w:val="clear" w:color="auto" w:fill="FFFFFF"/>
        </w:rPr>
        <w:t>Fazenda</w:t>
      </w:r>
      <w:r w:rsidR="0085344E">
        <w:rPr>
          <w:rFonts w:cs="Open Sans"/>
          <w:color w:val="000000"/>
          <w:shd w:val="clear" w:color="auto" w:fill="FFFFFF"/>
        </w:rPr>
        <w:t xml:space="preserve"> na internet.</w:t>
      </w:r>
    </w:p>
    <w:p w14:paraId="166F8EB7" w14:textId="6FBC0C28" w:rsidR="0085344E" w:rsidRDefault="0085344E" w:rsidP="00343993">
      <w:pPr>
        <w:spacing w:before="240" w:after="240"/>
        <w:ind w:firstLine="709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 xml:space="preserve">Os dados sobre os RPPS têm como fonte principal os demonstrativos obrigatórios enviados </w:t>
      </w:r>
      <w:r w:rsidR="005D6C8D">
        <w:rPr>
          <w:rFonts w:cs="Open Sans"/>
          <w:color w:val="000000"/>
          <w:shd w:val="clear" w:color="auto" w:fill="FFFFFF"/>
        </w:rPr>
        <w:t xml:space="preserve">pelos entes federativos </w:t>
      </w:r>
      <w:r>
        <w:rPr>
          <w:rFonts w:cs="Open Sans"/>
          <w:color w:val="000000"/>
          <w:shd w:val="clear" w:color="auto" w:fill="FFFFFF"/>
        </w:rPr>
        <w:t xml:space="preserve">à Secretaria de Previdência, </w:t>
      </w:r>
      <w:r w:rsidR="005D6C8D">
        <w:rPr>
          <w:rFonts w:cs="Open Sans"/>
          <w:color w:val="000000"/>
          <w:shd w:val="clear" w:color="auto" w:fill="FFFFFF"/>
        </w:rPr>
        <w:t>a</w:t>
      </w:r>
      <w:r>
        <w:rPr>
          <w:rFonts w:cs="Open Sans"/>
          <w:color w:val="000000"/>
          <w:shd w:val="clear" w:color="auto" w:fill="FFFFFF"/>
        </w:rPr>
        <w:t xml:space="preserve">os quais </w:t>
      </w:r>
      <w:r w:rsidR="005D6C8D">
        <w:rPr>
          <w:rFonts w:cs="Open Sans"/>
          <w:color w:val="000000"/>
          <w:shd w:val="clear" w:color="auto" w:fill="FFFFFF"/>
        </w:rPr>
        <w:t xml:space="preserve">é dada ampla transparência, </w:t>
      </w:r>
      <w:r>
        <w:rPr>
          <w:rFonts w:cs="Open Sans"/>
          <w:color w:val="000000"/>
          <w:shd w:val="clear" w:color="auto" w:fill="FFFFFF"/>
        </w:rPr>
        <w:t>pode</w:t>
      </w:r>
      <w:r w:rsidR="005D6C8D">
        <w:rPr>
          <w:rFonts w:cs="Open Sans"/>
          <w:color w:val="000000"/>
          <w:shd w:val="clear" w:color="auto" w:fill="FFFFFF"/>
        </w:rPr>
        <w:t>ndo</w:t>
      </w:r>
      <w:r>
        <w:rPr>
          <w:rFonts w:cs="Open Sans"/>
          <w:color w:val="000000"/>
          <w:shd w:val="clear" w:color="auto" w:fill="FFFFFF"/>
        </w:rPr>
        <w:t xml:space="preserve"> ser acessados na sua íntegra no endereço eletrônico do CADPREV</w:t>
      </w:r>
      <w:r w:rsidR="005D6C8D">
        <w:rPr>
          <w:rStyle w:val="Refdenotaderodap"/>
          <w:rFonts w:cs="Open Sans"/>
          <w:color w:val="000000"/>
          <w:shd w:val="clear" w:color="auto" w:fill="FFFFFF"/>
        </w:rPr>
        <w:footnoteReference w:id="7"/>
      </w:r>
      <w:r>
        <w:rPr>
          <w:rFonts w:cs="Open Sans"/>
          <w:color w:val="000000"/>
          <w:shd w:val="clear" w:color="auto" w:fill="FFFFFF"/>
        </w:rPr>
        <w:t>, em “Consultas Públicas”.</w:t>
      </w:r>
    </w:p>
    <w:p w14:paraId="402D6679" w14:textId="6E0AD982" w:rsidR="00D93DE7" w:rsidRDefault="00D93DE7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609C54DE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6870A1A9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43F6C881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6D76DD38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04119DD1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32E000C4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568A2EA0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0E2B9EA6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3A71F6B6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411264A1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79AB5D62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3E2A8432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001E34EE" w14:textId="77777777" w:rsidR="00E65A40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p w14:paraId="79533BB3" w14:textId="77777777" w:rsidR="00E65A40" w:rsidRPr="008720AB" w:rsidRDefault="00E65A40" w:rsidP="006D2D01">
      <w:pPr>
        <w:spacing w:before="240" w:after="240"/>
        <w:jc w:val="both"/>
        <w:rPr>
          <w:rFonts w:cs="Open Sans"/>
          <w:color w:val="000000"/>
          <w:shd w:val="clear" w:color="auto" w:fill="FFFFFF"/>
        </w:rPr>
      </w:pPr>
    </w:p>
    <w:sectPr w:rsidR="00E65A40" w:rsidRPr="008720AB" w:rsidSect="003F072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66D29" w14:textId="77777777" w:rsidR="008A1C85" w:rsidRDefault="008A1C85" w:rsidP="00543B57">
      <w:pPr>
        <w:spacing w:after="0" w:line="240" w:lineRule="auto"/>
      </w:pPr>
      <w:r>
        <w:separator/>
      </w:r>
    </w:p>
  </w:endnote>
  <w:endnote w:type="continuationSeparator" w:id="0">
    <w:p w14:paraId="6D808922" w14:textId="77777777" w:rsidR="008A1C85" w:rsidRDefault="008A1C85" w:rsidP="00543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Stencil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ED6D37" w14:textId="77777777" w:rsidR="008A1C85" w:rsidRDefault="008A1C85" w:rsidP="00543B57">
      <w:pPr>
        <w:spacing w:after="0" w:line="240" w:lineRule="auto"/>
      </w:pPr>
      <w:r>
        <w:separator/>
      </w:r>
    </w:p>
  </w:footnote>
  <w:footnote w:type="continuationSeparator" w:id="0">
    <w:p w14:paraId="6EE0F16C" w14:textId="77777777" w:rsidR="008A1C85" w:rsidRDefault="008A1C85" w:rsidP="00543B57">
      <w:pPr>
        <w:spacing w:after="0" w:line="240" w:lineRule="auto"/>
      </w:pPr>
      <w:r>
        <w:continuationSeparator/>
      </w:r>
    </w:p>
  </w:footnote>
  <w:footnote w:id="1">
    <w:p w14:paraId="23D65B8C" w14:textId="5ABD2A1B" w:rsidR="00FF0A12" w:rsidRDefault="00FF0A12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" w:history="1">
        <w:r w:rsidRPr="00C17465">
          <w:rPr>
            <w:rStyle w:val="Hyperlink"/>
            <w:color w:val="auto"/>
          </w:rPr>
          <w:t>http://www.previdencia.gov.br/regimes-proprios/indicador-de-situacao-previdenciaria/</w:t>
        </w:r>
      </w:hyperlink>
      <w:r w:rsidRPr="00C17465">
        <w:t xml:space="preserve"> </w:t>
      </w:r>
    </w:p>
  </w:footnote>
  <w:footnote w:id="2">
    <w:p w14:paraId="194EDF4D" w14:textId="2E791458" w:rsidR="008074E5" w:rsidRDefault="008074E5" w:rsidP="00E438B1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Nas tabelas XIV.04, XIV.05, XIV.06 e XIV.07 constam apenas as informações dos entes que enviaram o DRAA. Por isso, o total informado (1902) é inferior ao total de RPPS existentes (2123).</w:t>
      </w:r>
    </w:p>
  </w:footnote>
  <w:footnote w:id="3">
    <w:p w14:paraId="48B0B29E" w14:textId="045567B5" w:rsidR="008A1C85" w:rsidRDefault="008A1C85" w:rsidP="00FC7245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As informações do período de 2007 a 2016 reproduzem os números apurados e divulgados nos AEPS anteriores. Para o ano de 2017 foram adotados os seguintes critérios para a apuração da quantidade de segurados (</w:t>
      </w:r>
      <w:r w:rsidRPr="003C7059">
        <w:t>civis e</w:t>
      </w:r>
      <w:r>
        <w:t>, no caso dos Estados, mil</w:t>
      </w:r>
      <w:r w:rsidRPr="003C7059">
        <w:t>itares)</w:t>
      </w:r>
      <w:r>
        <w:t>: a) c</w:t>
      </w:r>
      <w:r w:rsidRPr="003C7059">
        <w:t>onsidera o último DRAA enviado</w:t>
      </w:r>
      <w:r>
        <w:t>;</w:t>
      </w:r>
      <w:r w:rsidRPr="003C7059">
        <w:t xml:space="preserve"> </w:t>
      </w:r>
      <w:r>
        <w:t>b) n</w:t>
      </w:r>
      <w:r w:rsidRPr="003C7059">
        <w:t xml:space="preserve">ão havendo nenhum DRAA, é utilizado o último </w:t>
      </w:r>
      <w:r w:rsidR="009A7065">
        <w:t>Demonstrativo de Informações Previdenciárias e Repasses (</w:t>
      </w:r>
      <w:r w:rsidRPr="003C7059">
        <w:t>DIPR</w:t>
      </w:r>
      <w:r w:rsidR="009A7065">
        <w:t>)</w:t>
      </w:r>
      <w:r w:rsidRPr="003C7059">
        <w:t xml:space="preserve"> disponível</w:t>
      </w:r>
      <w:r>
        <w:t>;</w:t>
      </w:r>
      <w:r w:rsidRPr="003C7059">
        <w:t xml:space="preserve"> </w:t>
      </w:r>
      <w:r>
        <w:t>c) p</w:t>
      </w:r>
      <w:r w:rsidRPr="003C7059">
        <w:t>ara os RPPS sem DRAA nem DIPR, ou com dados inconsistentes (</w:t>
      </w:r>
      <w:r>
        <w:t xml:space="preserve">número de </w:t>
      </w:r>
      <w:r w:rsidRPr="003C7059">
        <w:t>segurados superior a 50% da população),</w:t>
      </w:r>
      <w:r>
        <w:t xml:space="preserve"> é </w:t>
      </w:r>
      <w:r w:rsidRPr="003C7059">
        <w:t xml:space="preserve">imputado </w:t>
      </w:r>
      <w:r>
        <w:t xml:space="preserve">um </w:t>
      </w:r>
      <w:r w:rsidRPr="003C7059">
        <w:t xml:space="preserve">valor, com base no percentual médio do </w:t>
      </w:r>
      <w:r>
        <w:t>respectivo grupo</w:t>
      </w:r>
      <w:r w:rsidRPr="003C7059">
        <w:t xml:space="preserve"> </w:t>
      </w:r>
      <w:r>
        <w:t xml:space="preserve">(grupos 1 a 7, conforme </w:t>
      </w:r>
      <w:r w:rsidRPr="003C7059">
        <w:t>ISP</w:t>
      </w:r>
      <w:r>
        <w:t>)</w:t>
      </w:r>
      <w:r w:rsidRPr="003C7059">
        <w:t>.</w:t>
      </w:r>
    </w:p>
  </w:footnote>
  <w:footnote w:id="4">
    <w:p w14:paraId="5BBD7814" w14:textId="1B551CC3" w:rsidR="008A1C85" w:rsidRPr="00EF272B" w:rsidRDefault="008A1C85" w:rsidP="00DE04A2">
      <w:pPr>
        <w:spacing w:after="0" w:line="240" w:lineRule="auto"/>
        <w:jc w:val="both"/>
        <w:rPr>
          <w:sz w:val="20"/>
          <w:szCs w:val="20"/>
        </w:rPr>
      </w:pPr>
      <w:r w:rsidRPr="00EF272B">
        <w:rPr>
          <w:rStyle w:val="Refdenotaderodap"/>
          <w:sz w:val="20"/>
          <w:szCs w:val="20"/>
        </w:rPr>
        <w:footnoteRef/>
      </w:r>
      <w:r w:rsidRPr="00EF272B">
        <w:rPr>
          <w:sz w:val="20"/>
          <w:szCs w:val="20"/>
        </w:rPr>
        <w:t xml:space="preserve"> </w:t>
      </w:r>
      <w:r>
        <w:rPr>
          <w:sz w:val="20"/>
          <w:szCs w:val="20"/>
        </w:rPr>
        <w:t>A</w:t>
      </w:r>
      <w:r w:rsidRPr="00EF272B">
        <w:rPr>
          <w:sz w:val="20"/>
          <w:szCs w:val="20"/>
        </w:rPr>
        <w:t xml:space="preserve"> metodologia </w:t>
      </w:r>
      <w:r>
        <w:rPr>
          <w:sz w:val="20"/>
          <w:szCs w:val="20"/>
        </w:rPr>
        <w:t>de apuração do Resultado Financeiro observa as seguintes regras:</w:t>
      </w:r>
    </w:p>
    <w:p w14:paraId="1B97B72F" w14:textId="20E63ABF" w:rsidR="008A1C85" w:rsidRPr="00DE04A2" w:rsidRDefault="008A1C85" w:rsidP="00DE04A2">
      <w:pPr>
        <w:spacing w:after="0" w:line="240" w:lineRule="auto"/>
        <w:jc w:val="both"/>
        <w:rPr>
          <w:rFonts w:cs="Open Sans"/>
          <w:color w:val="000000"/>
          <w:sz w:val="20"/>
          <w:szCs w:val="20"/>
          <w:shd w:val="clear" w:color="auto" w:fill="FFFFFF"/>
        </w:rPr>
      </w:pPr>
      <w:r>
        <w:rPr>
          <w:rFonts w:cs="Open Sans"/>
          <w:color w:val="000000"/>
          <w:sz w:val="20"/>
          <w:szCs w:val="20"/>
          <w:shd w:val="clear" w:color="auto" w:fill="FFFFFF"/>
        </w:rPr>
        <w:t>a) N</w:t>
      </w:r>
      <w:r w:rsidRPr="00EF272B">
        <w:rPr>
          <w:rFonts w:cs="Open Sans"/>
          <w:color w:val="000000"/>
          <w:sz w:val="20"/>
          <w:szCs w:val="20"/>
          <w:shd w:val="clear" w:color="auto" w:fill="FFFFFF"/>
        </w:rPr>
        <w:t xml:space="preserve">o Resultado Financeiro considera-se o resultado do DIPR (CADPREV) ou do </w:t>
      </w:r>
      <w:r w:rsidR="002B01F8">
        <w:rPr>
          <w:rFonts w:cs="Open Sans"/>
          <w:color w:val="000000"/>
          <w:sz w:val="20"/>
          <w:szCs w:val="20"/>
          <w:shd w:val="clear" w:color="auto" w:fill="FFFFFF"/>
        </w:rPr>
        <w:t xml:space="preserve">Demonstrativo das Receitas e Despesas Previdenciárias do RPPS, anexo ao Relatório </w:t>
      </w:r>
      <w:r w:rsidRPr="00EF272B">
        <w:rPr>
          <w:rFonts w:cs="Open Sans"/>
          <w:color w:val="000000"/>
          <w:sz w:val="20"/>
          <w:szCs w:val="20"/>
          <w:shd w:val="clear" w:color="auto" w:fill="FFFFFF"/>
        </w:rPr>
        <w:t>R</w:t>
      </w:r>
      <w:r w:rsidR="002B01F8">
        <w:rPr>
          <w:rFonts w:cs="Open Sans"/>
          <w:color w:val="000000"/>
          <w:sz w:val="20"/>
          <w:szCs w:val="20"/>
          <w:shd w:val="clear" w:color="auto" w:fill="FFFFFF"/>
        </w:rPr>
        <w:t>esumido de Execução Orçamentári</w:t>
      </w:r>
      <w:r w:rsidR="00237CF0">
        <w:rPr>
          <w:rFonts w:cs="Open Sans"/>
          <w:color w:val="000000"/>
          <w:sz w:val="20"/>
          <w:szCs w:val="20"/>
          <w:shd w:val="clear" w:color="auto" w:fill="FFFFFF"/>
        </w:rPr>
        <w:t>a (RREO)</w:t>
      </w:r>
      <w:r w:rsidR="002B01F8">
        <w:rPr>
          <w:rFonts w:cs="Open Sans"/>
          <w:color w:val="000000"/>
          <w:sz w:val="20"/>
          <w:szCs w:val="20"/>
          <w:shd w:val="clear" w:color="auto" w:fill="FFFFFF"/>
        </w:rPr>
        <w:t xml:space="preserve"> encaminhado pelo Sistema de Informações Contábeis e Fiscais do Setor Público Brasileiro (SICONFI)</w:t>
      </w:r>
      <w:r w:rsidRPr="00EF272B">
        <w:rPr>
          <w:rFonts w:cs="Open Sans"/>
          <w:color w:val="000000"/>
          <w:sz w:val="20"/>
          <w:szCs w:val="20"/>
          <w:shd w:val="clear" w:color="auto" w:fill="FFFFFF"/>
        </w:rPr>
        <w:t xml:space="preserve">, quando existente a informação de </w:t>
      </w:r>
      <w:r>
        <w:rPr>
          <w:rFonts w:cs="Open Sans"/>
          <w:color w:val="000000"/>
          <w:sz w:val="20"/>
          <w:szCs w:val="20"/>
          <w:shd w:val="clear" w:color="auto" w:fill="FFFFFF"/>
        </w:rPr>
        <w:t xml:space="preserve">apenas um desses documentos, ou o resultado mais conservador (pior), </w:t>
      </w:r>
      <w:r w:rsidRPr="00DE04A2">
        <w:rPr>
          <w:rFonts w:cs="Open Sans"/>
          <w:color w:val="000000"/>
          <w:sz w:val="20"/>
          <w:szCs w:val="20"/>
          <w:shd w:val="clear" w:color="auto" w:fill="FFFFFF"/>
        </w:rPr>
        <w:t xml:space="preserve">quando houver </w:t>
      </w:r>
      <w:r>
        <w:rPr>
          <w:rFonts w:cs="Open Sans"/>
          <w:color w:val="000000"/>
          <w:sz w:val="20"/>
          <w:szCs w:val="20"/>
          <w:shd w:val="clear" w:color="auto" w:fill="FFFFFF"/>
        </w:rPr>
        <w:t>a informação dos dois documentos</w:t>
      </w:r>
      <w:r w:rsidRPr="00DE04A2">
        <w:rPr>
          <w:rFonts w:cs="Open Sans"/>
          <w:color w:val="000000"/>
          <w:sz w:val="20"/>
          <w:szCs w:val="20"/>
          <w:shd w:val="clear" w:color="auto" w:fill="FFFFFF"/>
        </w:rPr>
        <w:t>. Na ausência de informações</w:t>
      </w:r>
      <w:r>
        <w:rPr>
          <w:rFonts w:cs="Open Sans"/>
          <w:color w:val="000000"/>
          <w:sz w:val="20"/>
          <w:szCs w:val="20"/>
          <w:shd w:val="clear" w:color="auto" w:fill="FFFFFF"/>
        </w:rPr>
        <w:t xml:space="preserve"> tanto do DIPR como do RREO</w:t>
      </w:r>
      <w:r w:rsidRPr="00DE04A2">
        <w:rPr>
          <w:rFonts w:cs="Open Sans"/>
          <w:color w:val="000000"/>
          <w:sz w:val="20"/>
          <w:szCs w:val="20"/>
          <w:shd w:val="clear" w:color="auto" w:fill="FFFFFF"/>
        </w:rPr>
        <w:t xml:space="preserve">, o resultado é imputado conforme a média do </w:t>
      </w:r>
      <w:r>
        <w:rPr>
          <w:rFonts w:cs="Open Sans"/>
          <w:color w:val="000000"/>
          <w:sz w:val="20"/>
          <w:szCs w:val="20"/>
          <w:shd w:val="clear" w:color="auto" w:fill="FFFFFF"/>
        </w:rPr>
        <w:t>g</w:t>
      </w:r>
      <w:r w:rsidRPr="00DE04A2">
        <w:rPr>
          <w:rFonts w:cs="Open Sans"/>
          <w:color w:val="000000"/>
          <w:sz w:val="20"/>
          <w:szCs w:val="20"/>
          <w:shd w:val="clear" w:color="auto" w:fill="FFFFFF"/>
        </w:rPr>
        <w:t>rupo.</w:t>
      </w:r>
    </w:p>
    <w:p w14:paraId="1C6E8CB0" w14:textId="6BD9A475" w:rsidR="008A1C85" w:rsidRDefault="008A1C85" w:rsidP="00DE04A2">
      <w:pPr>
        <w:pStyle w:val="Textodenotaderodap"/>
        <w:jc w:val="both"/>
        <w:rPr>
          <w:rFonts w:cs="Open Sans"/>
          <w:color w:val="000000"/>
          <w:shd w:val="clear" w:color="auto" w:fill="FFFFFF"/>
        </w:rPr>
      </w:pPr>
      <w:r>
        <w:rPr>
          <w:rFonts w:cs="Open Sans"/>
          <w:color w:val="000000"/>
          <w:shd w:val="clear" w:color="auto" w:fill="FFFFFF"/>
        </w:rPr>
        <w:t xml:space="preserve">b) O </w:t>
      </w:r>
      <w:r w:rsidRPr="00DE04A2">
        <w:rPr>
          <w:rFonts w:cs="Open Sans"/>
          <w:color w:val="000000"/>
          <w:shd w:val="clear" w:color="auto" w:fill="FFFFFF"/>
        </w:rPr>
        <w:t>Resultado Financeiro apurado por meio do DIPR considera as receitas totais (exceto os aportes para cobertura de insuficiência financeira, para pagamento de benefícios de responsabilidade do tesouro e outros aportes e transferências, bem como os aportes destinados ao pagamento d</w:t>
      </w:r>
      <w:r>
        <w:rPr>
          <w:rFonts w:cs="Open Sans"/>
          <w:color w:val="000000"/>
          <w:shd w:val="clear" w:color="auto" w:fill="FFFFFF"/>
        </w:rPr>
        <w:t>os benefícios dos</w:t>
      </w:r>
      <w:r w:rsidRPr="00DE04A2">
        <w:rPr>
          <w:rFonts w:cs="Open Sans"/>
          <w:color w:val="000000"/>
          <w:shd w:val="clear" w:color="auto" w:fill="FFFFFF"/>
        </w:rPr>
        <w:t xml:space="preserve"> militares), menos </w:t>
      </w:r>
      <w:r>
        <w:rPr>
          <w:rFonts w:cs="Open Sans"/>
          <w:color w:val="000000"/>
          <w:shd w:val="clear" w:color="auto" w:fill="FFFFFF"/>
        </w:rPr>
        <w:t>as despesas totais</w:t>
      </w:r>
      <w:r w:rsidRPr="00DE04A2">
        <w:rPr>
          <w:rFonts w:cs="Open Sans"/>
          <w:color w:val="000000"/>
          <w:shd w:val="clear" w:color="auto" w:fill="FFFFFF"/>
        </w:rPr>
        <w:t>. Co</w:t>
      </w:r>
      <w:r>
        <w:rPr>
          <w:rFonts w:cs="Open Sans"/>
          <w:color w:val="000000"/>
          <w:shd w:val="clear" w:color="auto" w:fill="FFFFFF"/>
        </w:rPr>
        <w:t xml:space="preserve">mo </w:t>
      </w:r>
      <w:r w:rsidRPr="00DE04A2">
        <w:rPr>
          <w:rFonts w:cs="Open Sans"/>
          <w:color w:val="000000"/>
          <w:shd w:val="clear" w:color="auto" w:fill="FFFFFF"/>
        </w:rPr>
        <w:t>as informações do DIPR são mensais, para os RPPS que não enviaram todas as competências, é definida a proporção entre os 12 meses e o total de meses com informações, para estabelecer o valor anual</w:t>
      </w:r>
      <w:r>
        <w:rPr>
          <w:rFonts w:cs="Open Sans"/>
          <w:color w:val="000000"/>
          <w:shd w:val="clear" w:color="auto" w:fill="FFFFFF"/>
        </w:rPr>
        <w:t>.</w:t>
      </w:r>
    </w:p>
    <w:p w14:paraId="1D8E7B79" w14:textId="18627B43" w:rsidR="008A1C85" w:rsidRPr="00DE04A2" w:rsidRDefault="008A1C85" w:rsidP="00DE04A2">
      <w:pPr>
        <w:pStyle w:val="Textodenotaderodap"/>
        <w:jc w:val="both"/>
      </w:pPr>
      <w:r>
        <w:rPr>
          <w:rFonts w:cs="Open Sans"/>
          <w:color w:val="000000"/>
          <w:shd w:val="clear" w:color="auto" w:fill="FFFFFF"/>
        </w:rPr>
        <w:t xml:space="preserve">c) </w:t>
      </w:r>
      <w:r w:rsidRPr="00DE04A2">
        <w:rPr>
          <w:rFonts w:cs="Open Sans"/>
          <w:color w:val="000000"/>
          <w:shd w:val="clear" w:color="auto" w:fill="FFFFFF"/>
        </w:rPr>
        <w:t xml:space="preserve">O Resultado Financeiro apurado por meio do RREO considera as receitas totais (exceto os aportes e demais receitas correntes), menos </w:t>
      </w:r>
      <w:r>
        <w:rPr>
          <w:rFonts w:cs="Open Sans"/>
          <w:color w:val="000000"/>
          <w:shd w:val="clear" w:color="auto" w:fill="FFFFFF"/>
        </w:rPr>
        <w:t>as despesas totais.</w:t>
      </w:r>
    </w:p>
  </w:footnote>
  <w:footnote w:id="5">
    <w:p w14:paraId="789191CA" w14:textId="08812DF6" w:rsidR="00F97249" w:rsidRPr="006B2F34" w:rsidRDefault="00F97249" w:rsidP="00F97249">
      <w:pPr>
        <w:pStyle w:val="Textodenotaderodap"/>
      </w:pPr>
      <w:r>
        <w:rPr>
          <w:rStyle w:val="Refdenotaderodap"/>
        </w:rPr>
        <w:footnoteRef/>
      </w:r>
      <w:r>
        <w:t xml:space="preserve"> Disponível em: </w:t>
      </w:r>
      <w:hyperlink r:id="rId2" w:history="1">
        <w:r w:rsidRPr="006B2F34">
          <w:rPr>
            <w:rStyle w:val="Hyperlink"/>
            <w:color w:val="auto"/>
          </w:rPr>
          <w:t>http://www.previdencia.gov.br/regimes-proprios/indicador-de-situacao-previdenciaria/</w:t>
        </w:r>
      </w:hyperlink>
      <w:r w:rsidRPr="006B2F34">
        <w:t>.</w:t>
      </w:r>
    </w:p>
  </w:footnote>
  <w:footnote w:id="6">
    <w:p w14:paraId="321B6BF7" w14:textId="5ECCE113" w:rsidR="00343993" w:rsidRPr="006B2F34" w:rsidRDefault="00343993" w:rsidP="00343993">
      <w:pPr>
        <w:pStyle w:val="Textodenotaderodap"/>
      </w:pPr>
      <w:r w:rsidRPr="006B2F34">
        <w:rPr>
          <w:rStyle w:val="Refdenotaderodap"/>
        </w:rPr>
        <w:footnoteRef/>
      </w:r>
      <w:r w:rsidRPr="006B2F34">
        <w:t xml:space="preserve"> Disponível em: </w:t>
      </w:r>
      <w:hyperlink r:id="rId3" w:history="1">
        <w:r w:rsidRPr="006B2F34">
          <w:rPr>
            <w:rStyle w:val="Hyperlink"/>
            <w:color w:val="auto"/>
          </w:rPr>
          <w:t>http://www.previdencia.gov.br/dados-abertos/estatisticas-e-informacoes-dos-rpps/</w:t>
        </w:r>
      </w:hyperlink>
      <w:r w:rsidRPr="006B2F34">
        <w:t>.</w:t>
      </w:r>
    </w:p>
  </w:footnote>
  <w:footnote w:id="7">
    <w:p w14:paraId="15225571" w14:textId="19E2ED01" w:rsidR="005D6C8D" w:rsidRDefault="005D6C8D">
      <w:pPr>
        <w:pStyle w:val="Textodenotaderodap"/>
      </w:pPr>
      <w:r w:rsidRPr="006B2F34">
        <w:rPr>
          <w:rStyle w:val="Refdenotaderodap"/>
        </w:rPr>
        <w:footnoteRef/>
      </w:r>
      <w:r w:rsidRPr="006B2F34">
        <w:t xml:space="preserve"> Disponível em: </w:t>
      </w:r>
      <w:hyperlink r:id="rId4" w:history="1">
        <w:r w:rsidRPr="006B2F34">
          <w:rPr>
            <w:rStyle w:val="Hyperlink"/>
            <w:color w:val="auto"/>
          </w:rPr>
          <w:t>https://cadprev.previdencia.gov.br//Cadprev/faces/pages/index.xhtml</w:t>
        </w:r>
      </w:hyperlink>
      <w:r w:rsidRPr="006B2F34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73224"/>
    <w:multiLevelType w:val="hybridMultilevel"/>
    <w:tmpl w:val="0096B32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067D21"/>
    <w:multiLevelType w:val="hybridMultilevel"/>
    <w:tmpl w:val="E154D82A"/>
    <w:lvl w:ilvl="0" w:tplc="777EC21A">
      <w:start w:val="1"/>
      <w:numFmt w:val="bullet"/>
      <w:lvlText w:val="»"/>
      <w:lvlJc w:val="left"/>
      <w:pPr>
        <w:ind w:left="1428" w:hanging="360"/>
      </w:pPr>
      <w:rPr>
        <w:rFonts w:ascii="Perpetua" w:hAnsi="Perpetua" w:hint="default"/>
        <w:sz w:val="22"/>
      </w:rPr>
    </w:lvl>
    <w:lvl w:ilvl="1" w:tplc="F790E38A">
      <w:start w:val="1"/>
      <w:numFmt w:val="bullet"/>
      <w:lvlText w:val="∙"/>
      <w:lvlJc w:val="left"/>
      <w:pPr>
        <w:ind w:left="2148" w:hanging="360"/>
      </w:pPr>
      <w:rPr>
        <w:rFonts w:ascii="Stencil Std" w:hAnsi="Stencil Std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07E6868"/>
    <w:multiLevelType w:val="hybridMultilevel"/>
    <w:tmpl w:val="544E8E0A"/>
    <w:lvl w:ilvl="0" w:tplc="D26639C4">
      <w:start w:val="1"/>
      <w:numFmt w:val="bullet"/>
      <w:lvlText w:val="▪"/>
      <w:lvlJc w:val="left"/>
      <w:pPr>
        <w:ind w:left="1428" w:hanging="360"/>
      </w:pPr>
      <w:rPr>
        <w:rFonts w:ascii="Calibri" w:hAnsi="Calibri" w:hint="default"/>
        <w:sz w:val="22"/>
      </w:rPr>
    </w:lvl>
    <w:lvl w:ilvl="1" w:tplc="F790E38A">
      <w:start w:val="1"/>
      <w:numFmt w:val="bullet"/>
      <w:lvlText w:val="∙"/>
      <w:lvlJc w:val="left"/>
      <w:pPr>
        <w:ind w:left="2148" w:hanging="360"/>
      </w:pPr>
      <w:rPr>
        <w:rFonts w:ascii="Stencil Std" w:hAnsi="Stencil Std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723"/>
    <w:rsid w:val="00000657"/>
    <w:rsid w:val="00004724"/>
    <w:rsid w:val="00022BE6"/>
    <w:rsid w:val="00026A20"/>
    <w:rsid w:val="00046269"/>
    <w:rsid w:val="000566A3"/>
    <w:rsid w:val="00090C90"/>
    <w:rsid w:val="000927A4"/>
    <w:rsid w:val="000A0F34"/>
    <w:rsid w:val="000A3194"/>
    <w:rsid w:val="000C148C"/>
    <w:rsid w:val="000C19C2"/>
    <w:rsid w:val="000D1724"/>
    <w:rsid w:val="000E08F2"/>
    <w:rsid w:val="000E48BC"/>
    <w:rsid w:val="000F4CC6"/>
    <w:rsid w:val="000F5B27"/>
    <w:rsid w:val="000F6C97"/>
    <w:rsid w:val="00105853"/>
    <w:rsid w:val="001058D1"/>
    <w:rsid w:val="00116366"/>
    <w:rsid w:val="00130FD0"/>
    <w:rsid w:val="0015376F"/>
    <w:rsid w:val="00166E8B"/>
    <w:rsid w:val="00171E61"/>
    <w:rsid w:val="001A395B"/>
    <w:rsid w:val="001B5C20"/>
    <w:rsid w:val="001E08DE"/>
    <w:rsid w:val="001E23F8"/>
    <w:rsid w:val="001F4188"/>
    <w:rsid w:val="001F7963"/>
    <w:rsid w:val="00201594"/>
    <w:rsid w:val="00207E02"/>
    <w:rsid w:val="0022674D"/>
    <w:rsid w:val="00237CF0"/>
    <w:rsid w:val="0025466A"/>
    <w:rsid w:val="00261EBD"/>
    <w:rsid w:val="00272B4A"/>
    <w:rsid w:val="00293F69"/>
    <w:rsid w:val="00295FD6"/>
    <w:rsid w:val="002B01F8"/>
    <w:rsid w:val="002B33C0"/>
    <w:rsid w:val="002C5BC1"/>
    <w:rsid w:val="002D0E5A"/>
    <w:rsid w:val="00305CC0"/>
    <w:rsid w:val="00305E3A"/>
    <w:rsid w:val="00310A8B"/>
    <w:rsid w:val="003240AF"/>
    <w:rsid w:val="00332C26"/>
    <w:rsid w:val="00343993"/>
    <w:rsid w:val="00346F3A"/>
    <w:rsid w:val="00347E1E"/>
    <w:rsid w:val="00371E88"/>
    <w:rsid w:val="003721E4"/>
    <w:rsid w:val="00386BDB"/>
    <w:rsid w:val="00396CC8"/>
    <w:rsid w:val="003A28D5"/>
    <w:rsid w:val="003A2BCD"/>
    <w:rsid w:val="003A344D"/>
    <w:rsid w:val="003A42A1"/>
    <w:rsid w:val="003B19E5"/>
    <w:rsid w:val="003C7059"/>
    <w:rsid w:val="003E30C2"/>
    <w:rsid w:val="003F0723"/>
    <w:rsid w:val="00411153"/>
    <w:rsid w:val="00424B67"/>
    <w:rsid w:val="00424F1A"/>
    <w:rsid w:val="004309B4"/>
    <w:rsid w:val="0044027B"/>
    <w:rsid w:val="004462EE"/>
    <w:rsid w:val="0048341C"/>
    <w:rsid w:val="004A5E76"/>
    <w:rsid w:val="004C64D4"/>
    <w:rsid w:val="004F4971"/>
    <w:rsid w:val="004F5C86"/>
    <w:rsid w:val="005070AC"/>
    <w:rsid w:val="00543B57"/>
    <w:rsid w:val="00544997"/>
    <w:rsid w:val="00550E3E"/>
    <w:rsid w:val="00550EE9"/>
    <w:rsid w:val="00555012"/>
    <w:rsid w:val="00582F13"/>
    <w:rsid w:val="0059720F"/>
    <w:rsid w:val="005D6C8D"/>
    <w:rsid w:val="005F7D22"/>
    <w:rsid w:val="00610E93"/>
    <w:rsid w:val="00633F87"/>
    <w:rsid w:val="00641F1F"/>
    <w:rsid w:val="00672E62"/>
    <w:rsid w:val="006A4E02"/>
    <w:rsid w:val="006A5B6B"/>
    <w:rsid w:val="006B2F34"/>
    <w:rsid w:val="006D2D01"/>
    <w:rsid w:val="006E0340"/>
    <w:rsid w:val="007466E1"/>
    <w:rsid w:val="007502AD"/>
    <w:rsid w:val="0075050E"/>
    <w:rsid w:val="007528AA"/>
    <w:rsid w:val="00770B3B"/>
    <w:rsid w:val="00770D1A"/>
    <w:rsid w:val="007831E3"/>
    <w:rsid w:val="0079132D"/>
    <w:rsid w:val="008020E0"/>
    <w:rsid w:val="008074E5"/>
    <w:rsid w:val="0085344E"/>
    <w:rsid w:val="008648DA"/>
    <w:rsid w:val="00867FF2"/>
    <w:rsid w:val="00871594"/>
    <w:rsid w:val="008720AB"/>
    <w:rsid w:val="008838D3"/>
    <w:rsid w:val="00893282"/>
    <w:rsid w:val="008A1C85"/>
    <w:rsid w:val="008A7F16"/>
    <w:rsid w:val="008C1C22"/>
    <w:rsid w:val="008E52DC"/>
    <w:rsid w:val="008F442A"/>
    <w:rsid w:val="008F483A"/>
    <w:rsid w:val="00900848"/>
    <w:rsid w:val="00901FAC"/>
    <w:rsid w:val="00926C8D"/>
    <w:rsid w:val="009408B2"/>
    <w:rsid w:val="0094338B"/>
    <w:rsid w:val="009456D5"/>
    <w:rsid w:val="00967CB1"/>
    <w:rsid w:val="00983C51"/>
    <w:rsid w:val="009A4E25"/>
    <w:rsid w:val="009A7065"/>
    <w:rsid w:val="009D7027"/>
    <w:rsid w:val="00A0076A"/>
    <w:rsid w:val="00A225C2"/>
    <w:rsid w:val="00A31232"/>
    <w:rsid w:val="00A3192C"/>
    <w:rsid w:val="00A322E7"/>
    <w:rsid w:val="00A41927"/>
    <w:rsid w:val="00A519FB"/>
    <w:rsid w:val="00A52DB5"/>
    <w:rsid w:val="00A6584D"/>
    <w:rsid w:val="00A700C4"/>
    <w:rsid w:val="00A71578"/>
    <w:rsid w:val="00A75276"/>
    <w:rsid w:val="00AE11DF"/>
    <w:rsid w:val="00AF0012"/>
    <w:rsid w:val="00AF4E09"/>
    <w:rsid w:val="00AF5434"/>
    <w:rsid w:val="00B05722"/>
    <w:rsid w:val="00B37767"/>
    <w:rsid w:val="00B46EB5"/>
    <w:rsid w:val="00B81F25"/>
    <w:rsid w:val="00B86738"/>
    <w:rsid w:val="00BB0D48"/>
    <w:rsid w:val="00BC5B5A"/>
    <w:rsid w:val="00BD0551"/>
    <w:rsid w:val="00BD2C10"/>
    <w:rsid w:val="00BD4429"/>
    <w:rsid w:val="00BF068A"/>
    <w:rsid w:val="00C016F8"/>
    <w:rsid w:val="00C05455"/>
    <w:rsid w:val="00C17465"/>
    <w:rsid w:val="00C326B6"/>
    <w:rsid w:val="00C50992"/>
    <w:rsid w:val="00C56A2B"/>
    <w:rsid w:val="00C60D06"/>
    <w:rsid w:val="00C679F1"/>
    <w:rsid w:val="00C90A60"/>
    <w:rsid w:val="00CB0381"/>
    <w:rsid w:val="00CD4869"/>
    <w:rsid w:val="00CE0699"/>
    <w:rsid w:val="00D10280"/>
    <w:rsid w:val="00D14F6E"/>
    <w:rsid w:val="00D2710F"/>
    <w:rsid w:val="00D32730"/>
    <w:rsid w:val="00D46477"/>
    <w:rsid w:val="00D62CFA"/>
    <w:rsid w:val="00D70F5C"/>
    <w:rsid w:val="00D93413"/>
    <w:rsid w:val="00D93DE7"/>
    <w:rsid w:val="00D94C02"/>
    <w:rsid w:val="00DA504E"/>
    <w:rsid w:val="00DD7329"/>
    <w:rsid w:val="00DE04A2"/>
    <w:rsid w:val="00DE239D"/>
    <w:rsid w:val="00E06DA6"/>
    <w:rsid w:val="00E07E79"/>
    <w:rsid w:val="00E14C1C"/>
    <w:rsid w:val="00E3023B"/>
    <w:rsid w:val="00E33189"/>
    <w:rsid w:val="00E33F50"/>
    <w:rsid w:val="00E438B1"/>
    <w:rsid w:val="00E473D4"/>
    <w:rsid w:val="00E53D18"/>
    <w:rsid w:val="00E57697"/>
    <w:rsid w:val="00E65A40"/>
    <w:rsid w:val="00E81FD4"/>
    <w:rsid w:val="00E90837"/>
    <w:rsid w:val="00EC0B98"/>
    <w:rsid w:val="00EF272B"/>
    <w:rsid w:val="00EF6689"/>
    <w:rsid w:val="00F1029D"/>
    <w:rsid w:val="00F16492"/>
    <w:rsid w:val="00F5464C"/>
    <w:rsid w:val="00F66989"/>
    <w:rsid w:val="00F71CE5"/>
    <w:rsid w:val="00F736FB"/>
    <w:rsid w:val="00F97249"/>
    <w:rsid w:val="00FB394E"/>
    <w:rsid w:val="00FC7245"/>
    <w:rsid w:val="00FE46FF"/>
    <w:rsid w:val="00FF0A12"/>
    <w:rsid w:val="00FF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FDCF"/>
  <w15:docId w15:val="{4CBA80B4-6F5B-4188-9079-C181465D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020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83C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020E0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F0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F0723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2B33C0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B33C0"/>
    <w:rPr>
      <w:color w:val="800080"/>
      <w:u w:val="single"/>
    </w:rPr>
  </w:style>
  <w:style w:type="paragraph" w:customStyle="1" w:styleId="xl68">
    <w:name w:val="xl68"/>
    <w:basedOn w:val="Normal"/>
    <w:rsid w:val="002B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69">
    <w:name w:val="xl69"/>
    <w:basedOn w:val="Normal"/>
    <w:rsid w:val="002B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0">
    <w:name w:val="xl70"/>
    <w:basedOn w:val="Normal"/>
    <w:rsid w:val="002B33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1">
    <w:name w:val="xl71"/>
    <w:basedOn w:val="Normal"/>
    <w:rsid w:val="002B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2">
    <w:name w:val="xl72"/>
    <w:basedOn w:val="Normal"/>
    <w:rsid w:val="002B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3">
    <w:name w:val="xl73"/>
    <w:basedOn w:val="Normal"/>
    <w:rsid w:val="002B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4">
    <w:name w:val="xl74"/>
    <w:basedOn w:val="Normal"/>
    <w:rsid w:val="002B33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5">
    <w:name w:val="xl75"/>
    <w:basedOn w:val="Normal"/>
    <w:rsid w:val="002B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6">
    <w:name w:val="xl76"/>
    <w:basedOn w:val="Normal"/>
    <w:rsid w:val="002B33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7">
    <w:name w:val="xl77"/>
    <w:basedOn w:val="Normal"/>
    <w:rsid w:val="002B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8">
    <w:name w:val="xl78"/>
    <w:basedOn w:val="Normal"/>
    <w:rsid w:val="002B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79">
    <w:name w:val="xl79"/>
    <w:basedOn w:val="Normal"/>
    <w:rsid w:val="002B33C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80">
    <w:name w:val="xl80"/>
    <w:basedOn w:val="Normal"/>
    <w:rsid w:val="002B33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81">
    <w:name w:val="xl81"/>
    <w:basedOn w:val="Normal"/>
    <w:rsid w:val="002B33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xl82">
    <w:name w:val="xl82"/>
    <w:basedOn w:val="Normal"/>
    <w:rsid w:val="002B3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543B57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543B57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543B57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00065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0065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0065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0065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00657"/>
    <w:rPr>
      <w:b/>
      <w:bCs/>
      <w:sz w:val="20"/>
      <w:szCs w:val="20"/>
    </w:rPr>
  </w:style>
  <w:style w:type="table" w:styleId="Tabelacomgrade">
    <w:name w:val="Table Grid"/>
    <w:basedOn w:val="Tabelanormal"/>
    <w:uiPriority w:val="59"/>
    <w:rsid w:val="00347E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983C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8020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8020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argrafodaLista">
    <w:name w:val="List Paragraph"/>
    <w:basedOn w:val="Normal"/>
    <w:uiPriority w:val="34"/>
    <w:qFormat/>
    <w:rsid w:val="008020E0"/>
    <w:pPr>
      <w:spacing w:after="160" w:line="259" w:lineRule="auto"/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020E0"/>
    <w:rPr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3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770D1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png"/><Relationship Id="rId26" Type="http://schemas.openxmlformats.org/officeDocument/2006/relationships/image" Target="media/image19.emf"/><Relationship Id="rId39" Type="http://schemas.openxmlformats.org/officeDocument/2006/relationships/theme" Target="theme/theme1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emf"/><Relationship Id="rId33" Type="http://schemas.openxmlformats.org/officeDocument/2006/relationships/image" Target="media/image26.e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29" Type="http://schemas.openxmlformats.org/officeDocument/2006/relationships/image" Target="media/image2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emf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6.emf"/><Relationship Id="rId28" Type="http://schemas.openxmlformats.org/officeDocument/2006/relationships/image" Target="media/image21.png"/><Relationship Id="rId36" Type="http://schemas.openxmlformats.org/officeDocument/2006/relationships/image" Target="media/image29.emf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emf"/><Relationship Id="rId27" Type="http://schemas.openxmlformats.org/officeDocument/2006/relationships/image" Target="media/image20.emf"/><Relationship Id="rId30" Type="http://schemas.openxmlformats.org/officeDocument/2006/relationships/image" Target="media/image23.emf"/><Relationship Id="rId35" Type="http://schemas.openxmlformats.org/officeDocument/2006/relationships/image" Target="media/image28.png"/><Relationship Id="rId8" Type="http://schemas.openxmlformats.org/officeDocument/2006/relationships/image" Target="media/image1.emf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evidencia.gov.br/dados-abertos/estatisticas-e-informacoes-dos-rpps/" TargetMode="External"/><Relationship Id="rId2" Type="http://schemas.openxmlformats.org/officeDocument/2006/relationships/hyperlink" Target="http://www.previdencia.gov.br/regimes-proprios/indicador-de-situacao-previdenciaria/" TargetMode="External"/><Relationship Id="rId1" Type="http://schemas.openxmlformats.org/officeDocument/2006/relationships/hyperlink" Target="http://www.previdencia.gov.br/regimes-proprios/indicador-de-situacao-previdenciaria/" TargetMode="External"/><Relationship Id="rId4" Type="http://schemas.openxmlformats.org/officeDocument/2006/relationships/hyperlink" Target="https://cadprev.previdencia.gov.br//Cadprev/faces/pages/index.xhtm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25BD2-DDDA-478A-AA4F-7B6E1C73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2715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Santos de Oliveira - SEC_PREV</dc:creator>
  <cp:lastModifiedBy>Rafael Teixeira Silva</cp:lastModifiedBy>
  <cp:revision>4</cp:revision>
  <dcterms:created xsi:type="dcterms:W3CDTF">2018-10-31T15:55:00Z</dcterms:created>
  <dcterms:modified xsi:type="dcterms:W3CDTF">2018-10-31T16:44:00Z</dcterms:modified>
</cp:coreProperties>
</file>